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63CCF7">
      <w:pPr>
        <w:spacing w:line="360" w:lineRule="auto"/>
        <w:jc w:val="center"/>
        <w:rPr>
          <w:rFonts w:ascii="方正小标宋简体" w:hAnsi="仿宋" w:eastAsia="方正小标宋简体" w:cs="Times New Roman"/>
          <w:b/>
          <w:bCs/>
          <w:sz w:val="40"/>
          <w:szCs w:val="40"/>
        </w:rPr>
      </w:pPr>
      <w:r>
        <w:rPr>
          <w:rFonts w:hint="eastAsia" w:ascii="方正小标宋简体" w:hAnsi="仿宋" w:eastAsia="方正小标宋简体" w:cs="Times New Roman"/>
          <w:b/>
          <w:bCs/>
          <w:sz w:val="40"/>
          <w:szCs w:val="40"/>
        </w:rPr>
        <w:t>东安县秸秆禁烧区和限烧区划定方案</w:t>
      </w:r>
    </w:p>
    <w:p w14:paraId="1BD57947">
      <w:pPr>
        <w:spacing w:line="360" w:lineRule="auto"/>
        <w:ind w:firstLine="640" w:firstLineChars="200"/>
        <w:rPr>
          <w:rFonts w:ascii="仿宋" w:hAnsi="仿宋" w:eastAsia="仿宋" w:cs="Times New Roman"/>
          <w:sz w:val="32"/>
          <w:szCs w:val="32"/>
        </w:rPr>
      </w:pPr>
      <w:bookmarkStart w:id="64" w:name="_GoBack"/>
      <w:bookmarkEnd w:id="64"/>
      <w:r>
        <w:rPr>
          <w:rFonts w:hint="eastAsia" w:ascii="仿宋" w:hAnsi="仿宋" w:eastAsia="仿宋" w:cs="Times New Roman"/>
          <w:sz w:val="32"/>
          <w:szCs w:val="32"/>
        </w:rPr>
        <w:t>为贯彻落实《大气污染防治法》、《中共中央国务院关于进一步深化农村改革扎实推进乡村全面振兴的意见》、《湖南省大气污染防治条例》、《湖南省秸秆综合利用若干规定》等法律法规和政策要求，按照“疏堵结合、标本兼治、禁烧常态、以禁促用”总体思路，制定东安县秸秆禁烧区和限烧区划定方案，统筹推进秸秆综合利用和禁限烧管控。</w:t>
      </w:r>
    </w:p>
    <w:p w14:paraId="4E96BCDB">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一、划定依据</w:t>
      </w:r>
    </w:p>
    <w:p w14:paraId="1D5ED748">
      <w:pPr>
        <w:spacing w:line="360" w:lineRule="auto"/>
        <w:ind w:firstLine="640" w:firstLineChars="200"/>
        <w:rPr>
          <w:rFonts w:ascii="仿宋" w:hAnsi="仿宋" w:eastAsia="仿宋" w:cs="Times New Roman"/>
          <w:sz w:val="32"/>
          <w:szCs w:val="32"/>
        </w:rPr>
      </w:pPr>
      <w:bookmarkStart w:id="0" w:name="OLE_LINK118"/>
      <w:bookmarkStart w:id="1" w:name="OLE_LINK119"/>
      <w:r>
        <w:rPr>
          <w:rFonts w:hint="eastAsia" w:ascii="仿宋" w:hAnsi="仿宋" w:eastAsia="仿宋" w:cs="Times New Roman"/>
          <w:sz w:val="32"/>
          <w:szCs w:val="32"/>
        </w:rPr>
        <w:t>《</w:t>
      </w:r>
      <w:bookmarkStart w:id="2" w:name="OLE_LINK124"/>
      <w:r>
        <w:rPr>
          <w:rFonts w:hint="eastAsia" w:ascii="仿宋" w:hAnsi="仿宋" w:eastAsia="仿宋" w:cs="Times New Roman"/>
          <w:sz w:val="32"/>
          <w:szCs w:val="32"/>
        </w:rPr>
        <w:t>湖南省秸秆禁烧区和限烧区划定方案》</w:t>
      </w:r>
      <w:bookmarkEnd w:id="0"/>
      <w:bookmarkEnd w:id="1"/>
      <w:r>
        <w:rPr>
          <w:rFonts w:hint="eastAsia" w:ascii="仿宋" w:hAnsi="仿宋" w:eastAsia="仿宋" w:cs="Times New Roman"/>
          <w:sz w:val="32"/>
          <w:szCs w:val="32"/>
        </w:rPr>
        <w:t>《永州市秸秆禁烧区和限烧区划定方案》</w:t>
      </w:r>
      <w:bookmarkEnd w:id="2"/>
      <w:bookmarkStart w:id="3" w:name="OLE_LINK123"/>
      <w:bookmarkStart w:id="4" w:name="OLE_LINK122"/>
      <w:r>
        <w:rPr>
          <w:rFonts w:hint="eastAsia" w:ascii="仿宋" w:hAnsi="仿宋" w:eastAsia="仿宋" w:cs="Times New Roman"/>
          <w:sz w:val="32"/>
          <w:szCs w:val="32"/>
        </w:rPr>
        <w:t>《湖南省秸秆禁烧区和限烧区划定的指导意见（试行）》</w:t>
      </w:r>
    </w:p>
    <w:bookmarkEnd w:id="3"/>
    <w:bookmarkEnd w:id="4"/>
    <w:p w14:paraId="5AC77E5E">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根据《湖南省秸秆禁烧区和限烧区划定方案》，全省划分为Ⅰ类、Ⅱ类、Ⅲ类禁烧管控区，Ⅰ类管控区域内各市禁烧的耕地面积比例原则上不低于 90%，Ⅱ类管控区域内各市禁烧的耕地面积比例原则上不低于 70%，Ⅲ类管控区内各市(州)禁烧的耕地面积比例原则上不低于 60%。永州市属于Ⅲ类管控区，禁烧耕地面积平均为64.58%，各县区禁烧耕地面积比例分别为：冷水滩区82.03%、零陵区65.26%，祁阳市65.63%，双牌县65.21%，宁远县70.19%，道县68.16%，新田县67.08%，蓝山县55.50%，江华瑶族自治县50.93%，江永县46.44%，东安县63.96%。</w:t>
      </w:r>
    </w:p>
    <w:p w14:paraId="4007A996">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二、划定原则</w:t>
      </w:r>
    </w:p>
    <w:p w14:paraId="6CC396A2">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一)科学性。综合考虑地形地貌和大气污染传输扩散特征，兼顾农业生产和秸秆综合利用条件，建立全局的分区域、分类型、分级别、分时段秸秆禁烧区划定及禁烧管控体系，明确不同的划定目标要求，有效降低污染风险，</w:t>
      </w:r>
    </w:p>
    <w:p w14:paraId="1EB45392">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二)精准性。禁烧区划定以耕地为目标对象，厘清耕地类型及分布、农作物种植种类、秸秆综合利用和焚烧实际等基本情况，将耕地集中连片、露天焚烧多发频发、环境影响大等重点区域划入禁烧区，防止简单“一刀切”</w:t>
      </w:r>
    </w:p>
    <w:p w14:paraId="08F984FC">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(三)完整性。秸秆禁烧区应与土地利用类型相协调，统筹考虑山脉</w:t>
      </w:r>
      <w:bookmarkStart w:id="5" w:name="OLE_LINK120"/>
      <w:r>
        <w:rPr>
          <w:rFonts w:hint="eastAsia" w:ascii="仿宋" w:hAnsi="仿宋" w:eastAsia="仿宋" w:cs="Times New Roman"/>
          <w:sz w:val="32"/>
          <w:szCs w:val="32"/>
        </w:rPr>
        <w:t>、</w:t>
      </w:r>
      <w:bookmarkEnd w:id="5"/>
      <w:r>
        <w:rPr>
          <w:rFonts w:hint="eastAsia" w:ascii="仿宋" w:hAnsi="仿宋" w:eastAsia="仿宋" w:cs="Times New Roman"/>
          <w:sz w:val="32"/>
          <w:szCs w:val="32"/>
        </w:rPr>
        <w:t>河流等自然地理边界和各级行政边界，尽可能连续成片、避免破碎化，便于实际管理。</w:t>
      </w:r>
    </w:p>
    <w:p w14:paraId="3058B428">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三、划定范围</w:t>
      </w:r>
    </w:p>
    <w:p w14:paraId="63EEC443">
      <w:pPr>
        <w:spacing w:line="360" w:lineRule="auto"/>
        <w:ind w:firstLine="640" w:firstLineChars="200"/>
        <w:rPr>
          <w:rFonts w:ascii="黑体" w:hAnsi="黑体" w:eastAsia="黑体" w:cs="Times New Roman"/>
          <w:sz w:val="32"/>
          <w:szCs w:val="32"/>
        </w:rPr>
      </w:pPr>
      <w:r>
        <w:rPr>
          <w:rFonts w:hint="eastAsia" w:ascii="仿宋" w:hAnsi="仿宋" w:eastAsia="仿宋" w:cs="Times New Roman"/>
          <w:sz w:val="32"/>
          <w:szCs w:val="32"/>
        </w:rPr>
        <w:t xml:space="preserve"> (一)特殊区域划定范围</w:t>
      </w:r>
    </w:p>
    <w:p w14:paraId="2901419E">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对人口集中地区、交通干线附近、机场周围等需要特殊保护的区域一定范围内的耕地，应禁止秸秆露天焚烧，严格按要求划入禁烧区。</w:t>
      </w:r>
    </w:p>
    <w:p w14:paraId="55C6B6CB">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w:t>
      </w:r>
      <w:bookmarkStart w:id="6" w:name="OLE_LINK121"/>
      <w:r>
        <w:rPr>
          <w:rFonts w:hint="eastAsia" w:ascii="仿宋" w:hAnsi="仿宋" w:eastAsia="仿宋" w:cs="Times New Roman"/>
          <w:sz w:val="32"/>
          <w:szCs w:val="32"/>
        </w:rPr>
        <w:t>、</w:t>
      </w:r>
      <w:bookmarkEnd w:id="6"/>
      <w:r>
        <w:rPr>
          <w:rFonts w:hint="eastAsia" w:ascii="仿宋" w:hAnsi="仿宋" w:eastAsia="仿宋" w:cs="Times New Roman"/>
          <w:sz w:val="32"/>
          <w:szCs w:val="32"/>
        </w:rPr>
        <w:t>人口集中地区。</w:t>
      </w:r>
      <w:bookmarkStart w:id="7" w:name="OLE_LINK126"/>
      <w:bookmarkStart w:id="8" w:name="OLE_LINK125"/>
      <w:r>
        <w:rPr>
          <w:rFonts w:hint="eastAsia" w:ascii="仿宋" w:hAnsi="仿宋" w:eastAsia="仿宋" w:cs="Times New Roman"/>
          <w:sz w:val="32"/>
          <w:szCs w:val="32"/>
        </w:rPr>
        <w:t>市(州)人民政府所在城市城区实体地域及外围不低于 10 公里范围内、</w:t>
      </w:r>
      <w:bookmarkEnd w:id="7"/>
      <w:bookmarkEnd w:id="8"/>
      <w:r>
        <w:rPr>
          <w:rFonts w:hint="eastAsia" w:ascii="仿宋" w:hAnsi="仿宋" w:eastAsia="仿宋" w:cs="Times New Roman"/>
          <w:sz w:val="32"/>
          <w:szCs w:val="32"/>
        </w:rPr>
        <w:t>县级人民政府所在城市城区实体地域及外围不低于5公里范围内的耕地。</w:t>
      </w:r>
    </w:p>
    <w:p w14:paraId="62D1D0A0">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2、交通干线附近。高速公路、铁路(高铁)沿线两侧不低于2 公里范围内的耕地;国道、省道公路干线沿线两侧不低于1公里范围内的耕地。</w:t>
      </w:r>
    </w:p>
    <w:p w14:paraId="3BAB40C7">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3、机场周围。机场跑道中心线两侧各10公里、跑道端外 20公里范围内的耕地。</w:t>
      </w:r>
    </w:p>
    <w:p w14:paraId="4A66757A">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4、法律、法规以及规范性文件规定的其他需要特殊保护的区域内耕地。</w:t>
      </w:r>
    </w:p>
    <w:p w14:paraId="1CA4E9B5">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四、东安县总体方案</w:t>
      </w:r>
    </w:p>
    <w:p w14:paraId="22822C7F">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东安县行政区总面积2204.56平方公里，辖区耕地总面积</w:t>
      </w:r>
      <w:r>
        <w:rPr>
          <w:rFonts w:ascii="仿宋" w:hAnsi="仿宋" w:eastAsia="仿宋" w:cs="Times New Roman"/>
          <w:sz w:val="32"/>
          <w:szCs w:val="32"/>
        </w:rPr>
        <w:t>63.5</w:t>
      </w:r>
      <w:r>
        <w:rPr>
          <w:rFonts w:hint="eastAsia" w:ascii="仿宋" w:hAnsi="仿宋" w:eastAsia="仿宋" w:cs="Times New Roman"/>
          <w:sz w:val="32"/>
          <w:szCs w:val="32"/>
        </w:rPr>
        <w:t>万亩。按照《湖南省秸秆禁烧区和限烧区划定的指导意见（试行）》湖南省秸秆禁烧区和限烧区划定方案》《永州市秸秆禁烧区和限烧区划定方案》，东安县属于Ⅲ类禁烧管控分区，全县禁烧耕地面积比例为63.96%，禁烧区涉及16个乡镇（场），其中，其中辖区全部耕地划为禁烧区的乡镇1个，为花桥镇；全部耕地划为限烧区的乡镇(场)1个，为黄泥洞林场。其他乡镇禁烧耕地面积比例在16.71%—90.58%。</w:t>
      </w:r>
    </w:p>
    <w:p w14:paraId="78FDFA79">
      <w:pPr>
        <w:spacing w:line="360" w:lineRule="auto"/>
        <w:ind w:firstLine="640" w:firstLineChars="200"/>
        <w:rPr>
          <w:rFonts w:ascii="仿宋" w:hAnsi="仿宋" w:eastAsia="仿宋" w:cs="Times New Roman"/>
          <w:sz w:val="32"/>
          <w:szCs w:val="32"/>
        </w:rPr>
      </w:pPr>
      <w:bookmarkStart w:id="9" w:name="OLE_LINK128"/>
      <w:bookmarkStart w:id="10" w:name="OLE_LINK127"/>
      <w:r>
        <w:rPr>
          <w:rFonts w:hint="eastAsia" w:ascii="仿宋" w:hAnsi="仿宋" w:eastAsia="仿宋" w:cs="Times New Roman"/>
          <w:sz w:val="32"/>
          <w:szCs w:val="32"/>
        </w:rPr>
        <w:t>禁烧区范围主要包括：</w:t>
      </w:r>
    </w:p>
    <w:p w14:paraId="06A5483E">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（1）东安县政府所在城市的城区实体地域及外围</w:t>
      </w:r>
      <w:bookmarkStart w:id="11" w:name="_Hlk200556047"/>
      <w:r>
        <w:rPr>
          <w:rFonts w:hint="eastAsia" w:ascii="仿宋" w:hAnsi="仿宋" w:eastAsia="仿宋" w:cs="Times New Roman"/>
          <w:sz w:val="32"/>
          <w:szCs w:val="32"/>
        </w:rPr>
        <w:t>5公里范围内</w:t>
      </w:r>
      <w:bookmarkEnd w:id="11"/>
      <w:r>
        <w:rPr>
          <w:rFonts w:hint="eastAsia" w:ascii="仿宋" w:hAnsi="仿宋" w:eastAsia="仿宋" w:cs="Times New Roman"/>
          <w:sz w:val="32"/>
          <w:szCs w:val="32"/>
        </w:rPr>
        <w:t>的耕地；</w:t>
      </w:r>
    </w:p>
    <w:p w14:paraId="343CC62B">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（2）永州市政府所在城市城区实体地域及外围不低于 10 公里范围内涉及我县范围内的耕地；</w:t>
      </w:r>
    </w:p>
    <w:p w14:paraId="55F33A47">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（3）洛湛铁路、湘桂铁路、衡柳高铁、兴永郴赣铁路、邵永高铁、怀永高铁，共计6条铁路沿线两侧2公里范围内的耕地；</w:t>
      </w:r>
    </w:p>
    <w:p w14:paraId="0180CAAA">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（4）G55高速、G7221高速、S81高速，共计3条高速公路沿线两侧2公里范围内的耕地；</w:t>
      </w:r>
    </w:p>
    <w:p w14:paraId="753F1205">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（5）、G207国道、G322国道、S236省道、S340省道、S217省道、S238省道、S242省道，共计7条国道(省道)公路干线沿线两侧1公里范围内的耕地；</w:t>
      </w:r>
    </w:p>
    <w:p w14:paraId="450A018B">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（6）永州零陵机场，共计1个机场跑道中心线两侧10公里、跑道端外20公里范围内涉及东安县的耕地。</w:t>
      </w:r>
    </w:p>
    <w:bookmarkEnd w:id="9"/>
    <w:bookmarkEnd w:id="10"/>
    <w:p w14:paraId="633BCE19">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本次秸秆禁限烧区划定方案中的行政区面积和耕地面积以自然资源局提供的矢量数据为依据，与实际行政区面积和耕地面积可能存在一定差异。</w:t>
      </w:r>
    </w:p>
    <w:p w14:paraId="20870A29">
      <w:pPr>
        <w:spacing w:line="360" w:lineRule="auto"/>
        <w:ind w:firstLine="643" w:firstLineChars="200"/>
        <w:rPr>
          <w:rFonts w:ascii="仿宋" w:hAnsi="仿宋" w:eastAsia="仿宋" w:cs="Times New Roman"/>
          <w:b/>
          <w:bCs/>
          <w:sz w:val="32"/>
          <w:szCs w:val="32"/>
        </w:rPr>
      </w:pPr>
      <w:bookmarkStart w:id="12" w:name="_Hlk200636570"/>
      <w:r>
        <w:rPr>
          <w:rFonts w:hint="eastAsia" w:ascii="仿宋" w:hAnsi="仿宋" w:eastAsia="仿宋" w:cs="Times New Roman"/>
          <w:b/>
          <w:bCs/>
          <w:sz w:val="32"/>
          <w:szCs w:val="32"/>
        </w:rPr>
        <w:t>五、分乡(镇、场)方案</w:t>
      </w:r>
    </w:p>
    <w:p w14:paraId="2B8802F9">
      <w:pPr>
        <w:spacing w:line="360" w:lineRule="auto"/>
        <w:ind w:firstLine="643" w:firstLineChars="200"/>
        <w:rPr>
          <w:rFonts w:ascii="仿宋" w:hAnsi="仿宋" w:eastAsia="仿宋" w:cs="Times New Roman"/>
          <w:b/>
          <w:bCs/>
          <w:sz w:val="32"/>
          <w:szCs w:val="32"/>
        </w:rPr>
      </w:pPr>
      <w:bookmarkStart w:id="13" w:name="OLE_LINK15"/>
      <w:r>
        <w:rPr>
          <w:rFonts w:hint="eastAsia" w:ascii="仿宋" w:hAnsi="仿宋" w:eastAsia="仿宋" w:cs="Times New Roman"/>
          <w:b/>
          <w:bCs/>
          <w:sz w:val="32"/>
          <w:szCs w:val="32"/>
        </w:rPr>
        <w:t>(一)白牙市镇</w:t>
      </w:r>
    </w:p>
    <w:p w14:paraId="11B9DF26">
      <w:pPr>
        <w:spacing w:line="360" w:lineRule="auto"/>
        <w:ind w:firstLine="640" w:firstLineChars="200"/>
        <w:rPr>
          <w:rFonts w:ascii="仿宋" w:hAnsi="仿宋" w:eastAsia="仿宋" w:cs="Times New Roman"/>
          <w:sz w:val="32"/>
          <w:szCs w:val="32"/>
        </w:rPr>
      </w:pPr>
      <w:bookmarkStart w:id="14" w:name="OLE_LINK14"/>
      <w:r>
        <w:rPr>
          <w:rFonts w:hint="eastAsia" w:ascii="仿宋" w:hAnsi="仿宋" w:eastAsia="仿宋" w:cs="Times New Roman"/>
          <w:sz w:val="32"/>
          <w:szCs w:val="32"/>
        </w:rPr>
        <w:t>白牙市镇</w:t>
      </w:r>
      <w:bookmarkEnd w:id="14"/>
      <w:r>
        <w:rPr>
          <w:rFonts w:hint="eastAsia" w:ascii="仿宋" w:hAnsi="仿宋" w:eastAsia="仿宋" w:cs="Times New Roman"/>
          <w:sz w:val="32"/>
          <w:szCs w:val="32"/>
        </w:rPr>
        <w:t>行政区面积249.9平方公里，辖区耕地总面积8.65万亩，禁烧区耕地面积7.3万亩，限烧区耕地面积1.36万亩，禁烧耕地面积比例为84.33%， 49个行政村（社区），全部耕地划为禁烧区的行政村35个，全部耕地划为限烧区的行政村1个，他行政村禁烧耕地面积比例在1.73%-100%。</w:t>
      </w:r>
    </w:p>
    <w:p w14:paraId="44FFFC29">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1868BF50">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(1)东安县政府所在城市的城区实体地域及外围5公里范围内的耕地；</w:t>
      </w:r>
    </w:p>
    <w:p w14:paraId="6F712E2D">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(2)湘桂铁路、衡柳铁路，共计2铁路沿线两侧2公里范围内的耕地；</w:t>
      </w:r>
    </w:p>
    <w:p w14:paraId="50DDA0EF">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(3)G7221高速，共计1条高速公路沿线两侧2公里范围内的耕地；</w:t>
      </w:r>
    </w:p>
    <w:p w14:paraId="04EC87B0">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(4)G207国道、S236省道、S340省道、S217省道、S238省道、S242省道，共计6国(省)公路干线沿线两侧1公里范围内的耕地；</w:t>
      </w:r>
    </w:p>
    <w:p w14:paraId="26E758FD">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1、全域禁烧村：</w:t>
      </w:r>
      <w:bookmarkStart w:id="15" w:name="OLE_LINK130"/>
      <w:bookmarkStart w:id="16" w:name="OLE_LINK129"/>
      <w:r>
        <w:rPr>
          <w:rFonts w:hint="eastAsia" w:ascii="仿宋" w:hAnsi="仿宋" w:eastAsia="仿宋" w:cs="Times New Roman"/>
          <w:sz w:val="32"/>
          <w:szCs w:val="32"/>
        </w:rPr>
        <w:t>全部耕地划为禁烧区的行政村（社区）35个，</w:t>
      </w:r>
      <w:bookmarkEnd w:id="15"/>
      <w:bookmarkEnd w:id="16"/>
      <w:r>
        <w:rPr>
          <w:rFonts w:hint="eastAsia" w:ascii="仿宋" w:hAnsi="仿宋" w:eastAsia="仿宋" w:cs="Times New Roman"/>
          <w:sz w:val="32"/>
          <w:szCs w:val="32"/>
        </w:rPr>
        <w:t>分别为白牙市村、蔡家村、茶源村、大江源村、东城村、都塘村、独秀峰村、工业新村、红星村、湖塘村、鸡井塘村、李家铺村、莲塘村、林角村、柳溪村、秦塘村、神仙桥村、石登村、铁炉村、文竹山村、小新田村、幸福村、宜新村、永富村、宥江桥村、前进社区、龙溪社区、茶亭社区、紫水社区、山子岭社区、梨山口社区、苍子岭社区、下白鸭社区、青土坪社区、海竹山社区。</w:t>
      </w:r>
    </w:p>
    <w:p w14:paraId="11131A4E">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2、部分禁烧村：13个行政村，大江口村、大龙岩村、大塘旺村、荷池村、六仕町村、龙溪源村、山水村、社塘村、石溪河村、桐子山村、铜鼓岭村、祥合村、银山村。</w:t>
      </w:r>
    </w:p>
    <w:p w14:paraId="2B951112">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3、全域限烧村：</w:t>
      </w:r>
      <w:bookmarkStart w:id="17" w:name="OLE_LINK132"/>
      <w:bookmarkStart w:id="18" w:name="OLE_LINK131"/>
      <w:r>
        <w:rPr>
          <w:rFonts w:hint="eastAsia" w:ascii="仿宋" w:hAnsi="仿宋" w:eastAsia="仿宋" w:cs="Times New Roman"/>
          <w:sz w:val="32"/>
          <w:szCs w:val="32"/>
        </w:rPr>
        <w:t>全部耕地划为限烧区的行政村1个，</w:t>
      </w:r>
      <w:bookmarkEnd w:id="17"/>
      <w:bookmarkEnd w:id="18"/>
      <w:r>
        <w:rPr>
          <w:rFonts w:hint="eastAsia" w:ascii="仿宋" w:hAnsi="仿宋" w:eastAsia="仿宋" w:cs="Times New Roman"/>
          <w:sz w:val="32"/>
          <w:szCs w:val="32"/>
        </w:rPr>
        <w:t>为石门砥村。</w:t>
      </w:r>
    </w:p>
    <w:bookmarkEnd w:id="13"/>
    <w:p w14:paraId="0E1E6A6D">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 xml:space="preserve"> (二)</w:t>
      </w:r>
      <w:bookmarkStart w:id="19" w:name="OLE_LINK2"/>
      <w:r>
        <w:rPr>
          <w:rFonts w:hint="eastAsia" w:ascii="仿宋" w:hAnsi="仿宋" w:eastAsia="仿宋" w:cs="Times New Roman"/>
          <w:b/>
          <w:bCs/>
          <w:sz w:val="32"/>
          <w:szCs w:val="32"/>
        </w:rPr>
        <w:t>川岩乡</w:t>
      </w:r>
      <w:bookmarkEnd w:id="19"/>
    </w:p>
    <w:p w14:paraId="4CDA34B1">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川岩乡行政区面积100.41平方公里，包含10个行政村，辖区耕地总面积1.46万亩，禁烧区耕地面积0.79万亩，限烧区耕地面积0.69万亩，禁烧耕地面积比例为54.13%。禁烧区涉及6个行政村，其中辖区全部耕地划为禁烧区的行政村2个，分别为岭芝村、湾塘村、全部耕地划为限烧区的行政村4个，为白牙水村、榴星村、上界头村、下界头村，其他行政村禁烧耕地面积比例在2.87%-100%。</w:t>
      </w:r>
    </w:p>
    <w:p w14:paraId="6BB4D960">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1503F2D1">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G7221高速，共计1高速公路沿线两侧2公里范围内的耕地；</w:t>
      </w:r>
    </w:p>
    <w:p w14:paraId="354587DE">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(三)</w:t>
      </w:r>
      <w:bookmarkStart w:id="20" w:name="_Hlk200615894"/>
      <w:r>
        <w:rPr>
          <w:rFonts w:hint="eastAsia" w:ascii="仿宋" w:hAnsi="仿宋" w:eastAsia="仿宋" w:cs="Times New Roman"/>
          <w:b/>
          <w:bCs/>
          <w:sz w:val="32"/>
          <w:szCs w:val="32"/>
        </w:rPr>
        <w:t>大庙口镇</w:t>
      </w:r>
      <w:bookmarkEnd w:id="20"/>
    </w:p>
    <w:p w14:paraId="347A9527">
      <w:pPr>
        <w:spacing w:line="360" w:lineRule="auto"/>
        <w:ind w:firstLine="640" w:firstLineChars="200"/>
        <w:rPr>
          <w:rFonts w:ascii="仿宋" w:hAnsi="仿宋" w:eastAsia="仿宋" w:cs="Times New Roman"/>
          <w:sz w:val="32"/>
          <w:szCs w:val="32"/>
        </w:rPr>
      </w:pPr>
      <w:bookmarkStart w:id="21" w:name="_Hlk201136565"/>
      <w:r>
        <w:rPr>
          <w:rFonts w:hint="eastAsia" w:ascii="仿宋" w:hAnsi="仿宋" w:eastAsia="仿宋" w:cs="Times New Roman"/>
          <w:sz w:val="32"/>
          <w:szCs w:val="32"/>
        </w:rPr>
        <w:t>大庙口镇行政区面积351.38平方公里，包含25个行政村（居委会），辖区耕地总面积4.75万亩，禁烧区耕地面积0.77万亩，限烧区耕地面积3.98万亩，禁烧耕地面积比例为16.15%。禁烧区涉及10个行政村（居委会），其中辖区全部耕地划为禁烧区的行政村（居委会）3个，分别为屯里村、江南居委会、江北居委会，全部耕地划为限烧区的行政村15个，为</w:t>
      </w:r>
      <w:r>
        <w:rPr>
          <w:rFonts w:ascii="仿宋" w:hAnsi="仿宋" w:eastAsia="仿宋" w:cs="Times New Roman"/>
          <w:sz w:val="32"/>
          <w:szCs w:val="32"/>
        </w:rPr>
        <w:t>白马村</w:t>
      </w:r>
      <w:r>
        <w:rPr>
          <w:rFonts w:hint="eastAsia" w:ascii="仿宋" w:hAnsi="仿宋" w:eastAsia="仿宋" w:cs="Times New Roman"/>
          <w:sz w:val="32"/>
          <w:szCs w:val="32"/>
        </w:rPr>
        <w:t>、</w:t>
      </w:r>
      <w:r>
        <w:rPr>
          <w:rFonts w:ascii="仿宋" w:hAnsi="仿宋" w:eastAsia="仿宋" w:cs="Times New Roman"/>
          <w:sz w:val="32"/>
          <w:szCs w:val="32"/>
        </w:rPr>
        <w:t>峰源村</w:t>
      </w:r>
      <w:r>
        <w:rPr>
          <w:rFonts w:hint="eastAsia" w:ascii="仿宋" w:hAnsi="仿宋" w:eastAsia="仿宋" w:cs="Times New Roman"/>
          <w:sz w:val="32"/>
          <w:szCs w:val="32"/>
        </w:rPr>
        <w:t>、</w:t>
      </w:r>
      <w:r>
        <w:rPr>
          <w:rFonts w:ascii="仿宋" w:hAnsi="仿宋" w:eastAsia="仿宋" w:cs="Times New Roman"/>
          <w:sz w:val="32"/>
          <w:szCs w:val="32"/>
        </w:rPr>
        <w:t>高枧村</w:t>
      </w:r>
      <w:r>
        <w:rPr>
          <w:rFonts w:hint="eastAsia" w:ascii="仿宋" w:hAnsi="仿宋" w:eastAsia="仿宋" w:cs="Times New Roman"/>
          <w:sz w:val="32"/>
          <w:szCs w:val="32"/>
        </w:rPr>
        <w:t>、</w:t>
      </w:r>
      <w:r>
        <w:rPr>
          <w:rFonts w:ascii="仿宋" w:hAnsi="仿宋" w:eastAsia="仿宋" w:cs="Times New Roman"/>
          <w:sz w:val="32"/>
          <w:szCs w:val="32"/>
        </w:rPr>
        <w:t>官田村</w:t>
      </w:r>
      <w:r>
        <w:rPr>
          <w:rFonts w:hint="eastAsia" w:ascii="仿宋" w:hAnsi="仿宋" w:eastAsia="仿宋" w:cs="Times New Roman"/>
          <w:sz w:val="32"/>
          <w:szCs w:val="32"/>
        </w:rPr>
        <w:t>、</w:t>
      </w:r>
      <w:r>
        <w:rPr>
          <w:rFonts w:ascii="仿宋" w:hAnsi="仿宋" w:eastAsia="仿宋" w:cs="Times New Roman"/>
          <w:sz w:val="32"/>
          <w:szCs w:val="32"/>
        </w:rPr>
        <w:t>韭菜村</w:t>
      </w:r>
      <w:r>
        <w:rPr>
          <w:rFonts w:hint="eastAsia" w:ascii="仿宋" w:hAnsi="仿宋" w:eastAsia="仿宋" w:cs="Times New Roman"/>
          <w:sz w:val="32"/>
          <w:szCs w:val="32"/>
        </w:rPr>
        <w:t>、</w:t>
      </w:r>
      <w:r>
        <w:rPr>
          <w:rFonts w:ascii="仿宋" w:hAnsi="仿宋" w:eastAsia="仿宋" w:cs="Times New Roman"/>
          <w:sz w:val="32"/>
          <w:szCs w:val="32"/>
        </w:rPr>
        <w:t>乐福村</w:t>
      </w:r>
      <w:r>
        <w:rPr>
          <w:rFonts w:hint="eastAsia" w:ascii="仿宋" w:hAnsi="仿宋" w:eastAsia="仿宋" w:cs="Times New Roman"/>
          <w:sz w:val="32"/>
          <w:szCs w:val="32"/>
        </w:rPr>
        <w:t>、</w:t>
      </w:r>
      <w:r>
        <w:rPr>
          <w:rFonts w:ascii="仿宋" w:hAnsi="仿宋" w:eastAsia="仿宋" w:cs="Times New Roman"/>
          <w:sz w:val="32"/>
          <w:szCs w:val="32"/>
        </w:rPr>
        <w:t>柳木井村</w:t>
      </w:r>
      <w:r>
        <w:rPr>
          <w:rFonts w:hint="eastAsia" w:ascii="仿宋" w:hAnsi="仿宋" w:eastAsia="仿宋" w:cs="Times New Roman"/>
          <w:sz w:val="32"/>
          <w:szCs w:val="32"/>
        </w:rPr>
        <w:t>、</w:t>
      </w:r>
      <w:r>
        <w:rPr>
          <w:rFonts w:ascii="仿宋" w:hAnsi="仿宋" w:eastAsia="仿宋" w:cs="Times New Roman"/>
          <w:sz w:val="32"/>
          <w:szCs w:val="32"/>
        </w:rPr>
        <w:t>三星村</w:t>
      </w:r>
      <w:r>
        <w:rPr>
          <w:rFonts w:hint="eastAsia" w:ascii="仿宋" w:hAnsi="仿宋" w:eastAsia="仿宋" w:cs="Times New Roman"/>
          <w:sz w:val="32"/>
          <w:szCs w:val="32"/>
        </w:rPr>
        <w:t>、</w:t>
      </w:r>
      <w:r>
        <w:rPr>
          <w:rFonts w:ascii="仿宋" w:hAnsi="仿宋" w:eastAsia="仿宋" w:cs="Times New Roman"/>
          <w:sz w:val="32"/>
          <w:szCs w:val="32"/>
        </w:rPr>
        <w:t>双溪村</w:t>
      </w:r>
      <w:r>
        <w:rPr>
          <w:rFonts w:hint="eastAsia" w:ascii="仿宋" w:hAnsi="仿宋" w:eastAsia="仿宋" w:cs="Times New Roman"/>
          <w:sz w:val="32"/>
          <w:szCs w:val="32"/>
        </w:rPr>
        <w:t>、</w:t>
      </w:r>
      <w:r>
        <w:rPr>
          <w:rFonts w:ascii="仿宋" w:hAnsi="仿宋" w:eastAsia="仿宋" w:cs="Times New Roman"/>
          <w:sz w:val="32"/>
          <w:szCs w:val="32"/>
        </w:rPr>
        <w:t>塘旁边村</w:t>
      </w:r>
      <w:r>
        <w:rPr>
          <w:rFonts w:hint="eastAsia" w:ascii="仿宋" w:hAnsi="仿宋" w:eastAsia="仿宋" w:cs="Times New Roman"/>
          <w:sz w:val="32"/>
          <w:szCs w:val="32"/>
        </w:rPr>
        <w:t>、</w:t>
      </w:r>
      <w:r>
        <w:rPr>
          <w:rFonts w:ascii="仿宋" w:hAnsi="仿宋" w:eastAsia="仿宋" w:cs="Times New Roman"/>
          <w:sz w:val="32"/>
          <w:szCs w:val="32"/>
        </w:rPr>
        <w:t>鸭塘村</w:t>
      </w:r>
      <w:r>
        <w:rPr>
          <w:rFonts w:hint="eastAsia" w:ascii="仿宋" w:hAnsi="仿宋" w:eastAsia="仿宋" w:cs="Times New Roman"/>
          <w:sz w:val="32"/>
          <w:szCs w:val="32"/>
        </w:rPr>
        <w:t>、</w:t>
      </w:r>
      <w:r>
        <w:rPr>
          <w:rFonts w:ascii="仿宋" w:hAnsi="仿宋" w:eastAsia="仿宋" w:cs="Times New Roman"/>
          <w:sz w:val="32"/>
          <w:szCs w:val="32"/>
        </w:rPr>
        <w:t>御江源村</w:t>
      </w:r>
      <w:r>
        <w:rPr>
          <w:rFonts w:hint="eastAsia" w:ascii="仿宋" w:hAnsi="仿宋" w:eastAsia="仿宋" w:cs="Times New Roman"/>
          <w:sz w:val="32"/>
          <w:szCs w:val="32"/>
        </w:rPr>
        <w:t>、</w:t>
      </w:r>
      <w:r>
        <w:rPr>
          <w:rFonts w:ascii="仿宋" w:hAnsi="仿宋" w:eastAsia="仿宋" w:cs="Times New Roman"/>
          <w:sz w:val="32"/>
          <w:szCs w:val="32"/>
        </w:rPr>
        <w:t>袁家村</w:t>
      </w:r>
      <w:r>
        <w:rPr>
          <w:rFonts w:hint="eastAsia" w:ascii="仿宋" w:hAnsi="仿宋" w:eastAsia="仿宋" w:cs="Times New Roman"/>
          <w:sz w:val="32"/>
          <w:szCs w:val="32"/>
        </w:rPr>
        <w:t>、</w:t>
      </w:r>
      <w:r>
        <w:rPr>
          <w:rFonts w:ascii="仿宋" w:hAnsi="仿宋" w:eastAsia="仿宋" w:cs="Times New Roman"/>
          <w:sz w:val="32"/>
          <w:szCs w:val="32"/>
        </w:rPr>
        <w:t>周杨村</w:t>
      </w:r>
      <w:r>
        <w:rPr>
          <w:rFonts w:hint="eastAsia" w:ascii="仿宋" w:hAnsi="仿宋" w:eastAsia="仿宋" w:cs="Times New Roman"/>
          <w:sz w:val="32"/>
          <w:szCs w:val="32"/>
        </w:rPr>
        <w:t>、</w:t>
      </w:r>
      <w:r>
        <w:rPr>
          <w:rFonts w:ascii="仿宋" w:hAnsi="仿宋" w:eastAsia="仿宋" w:cs="Times New Roman"/>
          <w:sz w:val="32"/>
          <w:szCs w:val="32"/>
        </w:rPr>
        <w:t>紫云村</w:t>
      </w:r>
      <w:r>
        <w:rPr>
          <w:rFonts w:hint="eastAsia" w:ascii="仿宋" w:hAnsi="仿宋" w:eastAsia="仿宋" w:cs="Times New Roman"/>
          <w:sz w:val="32"/>
          <w:szCs w:val="32"/>
        </w:rPr>
        <w:t>，其他行政村禁烧耕地面积比例在2.16%-100%。</w:t>
      </w:r>
    </w:p>
    <w:bookmarkEnd w:id="21"/>
    <w:p w14:paraId="66FA327A">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4825EF4A">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S340省道、S217省道，共计2国(省)公路干线沿线两侧1公里范围内的耕地；</w:t>
      </w:r>
    </w:p>
    <w:p w14:paraId="0E37DA56">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(四)</w:t>
      </w:r>
      <w:bookmarkStart w:id="22" w:name="OLE_LINK3"/>
      <w:r>
        <w:rPr>
          <w:rFonts w:hint="eastAsia" w:ascii="仿宋" w:hAnsi="仿宋" w:eastAsia="仿宋" w:cs="Times New Roman"/>
          <w:b/>
          <w:bCs/>
          <w:sz w:val="32"/>
          <w:szCs w:val="32"/>
        </w:rPr>
        <w:t>大盛镇</w:t>
      </w:r>
      <w:bookmarkEnd w:id="22"/>
    </w:p>
    <w:p w14:paraId="49C25B71">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大盛镇行政区面积</w:t>
      </w:r>
      <w:r>
        <w:rPr>
          <w:rFonts w:ascii="仿宋" w:hAnsi="仿宋" w:eastAsia="仿宋" w:cs="Times New Roman"/>
          <w:sz w:val="32"/>
          <w:szCs w:val="32"/>
        </w:rPr>
        <w:t>103.</w:t>
      </w:r>
      <w:r>
        <w:rPr>
          <w:rFonts w:hint="eastAsia" w:ascii="仿宋" w:hAnsi="仿宋" w:eastAsia="仿宋" w:cs="Times New Roman"/>
          <w:sz w:val="32"/>
          <w:szCs w:val="32"/>
        </w:rPr>
        <w:t>12平方公里，包含17个行政村</w:t>
      </w:r>
      <w:bookmarkStart w:id="23" w:name="OLE_LINK24"/>
      <w:bookmarkStart w:id="24" w:name="OLE_LINK25"/>
      <w:bookmarkStart w:id="25" w:name="OLE_LINK26"/>
      <w:r>
        <w:rPr>
          <w:rFonts w:hint="eastAsia" w:ascii="仿宋" w:hAnsi="仿宋" w:eastAsia="仿宋" w:cs="Times New Roman"/>
          <w:sz w:val="32"/>
          <w:szCs w:val="32"/>
        </w:rPr>
        <w:t>（社区</w:t>
      </w:r>
      <w:bookmarkStart w:id="26" w:name="OLE_LINK18"/>
      <w:bookmarkStart w:id="27" w:name="OLE_LINK19"/>
      <w:r>
        <w:rPr>
          <w:rFonts w:hint="eastAsia" w:ascii="仿宋" w:hAnsi="仿宋" w:eastAsia="仿宋" w:cs="Times New Roman"/>
          <w:sz w:val="32"/>
          <w:szCs w:val="32"/>
        </w:rPr>
        <w:t>/居</w:t>
      </w:r>
      <w:bookmarkEnd w:id="26"/>
      <w:bookmarkEnd w:id="27"/>
      <w:r>
        <w:rPr>
          <w:rFonts w:hint="eastAsia" w:ascii="仿宋" w:hAnsi="仿宋" w:eastAsia="仿宋" w:cs="Times New Roman"/>
          <w:sz w:val="32"/>
          <w:szCs w:val="32"/>
        </w:rPr>
        <w:t>委会）</w:t>
      </w:r>
      <w:bookmarkEnd w:id="23"/>
      <w:bookmarkEnd w:id="24"/>
      <w:bookmarkEnd w:id="25"/>
      <w:r>
        <w:rPr>
          <w:rFonts w:hint="eastAsia" w:ascii="仿宋" w:hAnsi="仿宋" w:eastAsia="仿宋" w:cs="Times New Roman"/>
          <w:sz w:val="32"/>
          <w:szCs w:val="32"/>
        </w:rPr>
        <w:t>，辖区耕地总面积3.09万亩，禁烧区耕地面积2.77万亩，限烧区耕地面积0.32万亩，禁烧耕地面积比例为89.72%。禁烧区涉及17个行政村（社区/居委会），其中辖区全部耕地划为禁烧区的行政村</w:t>
      </w:r>
      <w:bookmarkStart w:id="28" w:name="OLE_LINK23"/>
      <w:bookmarkStart w:id="29" w:name="OLE_LINK21"/>
      <w:r>
        <w:rPr>
          <w:rFonts w:hint="eastAsia" w:ascii="仿宋" w:hAnsi="仿宋" w:eastAsia="仿宋" w:cs="Times New Roman"/>
          <w:sz w:val="32"/>
          <w:szCs w:val="32"/>
        </w:rPr>
        <w:t>（社区/居委会）</w:t>
      </w:r>
      <w:bookmarkEnd w:id="28"/>
      <w:bookmarkEnd w:id="29"/>
      <w:r>
        <w:rPr>
          <w:rFonts w:hint="eastAsia" w:ascii="仿宋" w:hAnsi="仿宋" w:eastAsia="仿宋" w:cs="Times New Roman"/>
          <w:sz w:val="32"/>
          <w:szCs w:val="32"/>
        </w:rPr>
        <w:t>10个，分别为</w:t>
      </w:r>
      <w:r>
        <w:rPr>
          <w:rFonts w:ascii="仿宋" w:hAnsi="仿宋" w:eastAsia="仿宋" w:cs="Times New Roman"/>
          <w:sz w:val="32"/>
          <w:szCs w:val="32"/>
        </w:rPr>
        <w:t>半山村、大水塘村、斗山村、井塘村、陵角村、毛坪村、泗水农村社区、兴隆回龙居委会、严塘村、杨家村</w:t>
      </w:r>
      <w:r>
        <w:rPr>
          <w:rFonts w:hint="eastAsia" w:ascii="仿宋" w:hAnsi="仿宋" w:eastAsia="仿宋" w:cs="Times New Roman"/>
          <w:sz w:val="32"/>
          <w:szCs w:val="32"/>
        </w:rPr>
        <w:t>，全部耕地划为限烧区的行政村0个，其他行政村禁烧耕地面积比例在2.11%-100%。</w:t>
      </w:r>
    </w:p>
    <w:p w14:paraId="1914D9F3">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0BE9682E">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(1)洛湛铁路，共计1条铁路沿线两侧2公里范围内的耕地；</w:t>
      </w:r>
    </w:p>
    <w:p w14:paraId="6E6F5B37">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(2)G55高速，共计1条高速公路沿线两侧2公里范围内的耕地；</w:t>
      </w:r>
    </w:p>
    <w:p w14:paraId="397C8A9C">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(五)</w:t>
      </w:r>
      <w:bookmarkStart w:id="30" w:name="_Hlk200617104"/>
      <w:r>
        <w:rPr>
          <w:rFonts w:hint="eastAsia" w:ascii="仿宋" w:hAnsi="仿宋" w:eastAsia="仿宋" w:cs="Times New Roman"/>
          <w:b/>
          <w:bCs/>
          <w:sz w:val="32"/>
          <w:szCs w:val="32"/>
        </w:rPr>
        <w:t>端桥铺镇</w:t>
      </w:r>
      <w:bookmarkEnd w:id="30"/>
    </w:p>
    <w:p w14:paraId="1709CE76">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端桥铺镇行政区面积134.91平方公里，包含23个行政村</w:t>
      </w:r>
      <w:bookmarkStart w:id="31" w:name="OLE_LINK27"/>
      <w:bookmarkStart w:id="32" w:name="OLE_LINK28"/>
      <w:r>
        <w:rPr>
          <w:rFonts w:hint="eastAsia" w:ascii="仿宋" w:hAnsi="仿宋" w:eastAsia="仿宋" w:cs="Times New Roman"/>
          <w:kern w:val="0"/>
          <w:sz w:val="32"/>
          <w:szCs w:val="32"/>
        </w:rPr>
        <w:t>（社区/居委会）</w:t>
      </w:r>
      <w:bookmarkEnd w:id="31"/>
      <w:bookmarkEnd w:id="32"/>
      <w:r>
        <w:rPr>
          <w:rFonts w:hint="eastAsia" w:ascii="仿宋" w:hAnsi="仿宋" w:eastAsia="仿宋" w:cs="Times New Roman"/>
          <w:sz w:val="32"/>
          <w:szCs w:val="32"/>
        </w:rPr>
        <w:t>，辖区耕地总面积5.71万亩，禁烧区耕地面积4.78万亩，限烧区耕地面积0.92万亩，禁烧耕地面积比例为83.83%。禁烧区涉及21个行政村</w:t>
      </w:r>
      <w:r>
        <w:rPr>
          <w:rFonts w:hint="eastAsia" w:ascii="仿宋" w:hAnsi="仿宋" w:eastAsia="仿宋" w:cs="Times New Roman"/>
          <w:kern w:val="0"/>
          <w:sz w:val="32"/>
          <w:szCs w:val="32"/>
        </w:rPr>
        <w:t>（社区/居委会）</w:t>
      </w:r>
      <w:r>
        <w:rPr>
          <w:rFonts w:hint="eastAsia" w:ascii="仿宋" w:hAnsi="仿宋" w:eastAsia="仿宋" w:cs="Times New Roman"/>
          <w:sz w:val="32"/>
          <w:szCs w:val="32"/>
        </w:rPr>
        <w:t>，其中辖区全部耕地划为禁烧区的行政村</w:t>
      </w:r>
      <w:r>
        <w:rPr>
          <w:rFonts w:hint="eastAsia" w:ascii="仿宋" w:hAnsi="仿宋" w:eastAsia="仿宋" w:cs="Times New Roman"/>
          <w:kern w:val="0"/>
          <w:sz w:val="32"/>
          <w:szCs w:val="32"/>
        </w:rPr>
        <w:t>（社区/居委会）</w:t>
      </w:r>
      <w:r>
        <w:rPr>
          <w:rFonts w:hint="eastAsia" w:ascii="仿宋" w:hAnsi="仿宋" w:eastAsia="仿宋" w:cs="Times New Roman"/>
          <w:sz w:val="32"/>
          <w:szCs w:val="32"/>
        </w:rPr>
        <w:t>15个，分别为</w:t>
      </w:r>
      <w:r>
        <w:rPr>
          <w:rFonts w:ascii="仿宋" w:hAnsi="仿宋" w:eastAsia="仿宋" w:cs="Times New Roman"/>
          <w:sz w:val="32"/>
          <w:szCs w:val="32"/>
        </w:rPr>
        <w:t>端桥铺居委会、湖塘铺村、黄木村、凉水井村、罗家村、马力山村、坪山塘村、石坝村、厅上村、下里山村、杨梓洞村、油塘村、俞家村、月潭村、竹木町农村社区</w:t>
      </w:r>
      <w:r>
        <w:rPr>
          <w:rFonts w:hint="eastAsia" w:ascii="仿宋" w:hAnsi="仿宋" w:eastAsia="仿宋" w:cs="Times New Roman"/>
          <w:sz w:val="32"/>
          <w:szCs w:val="32"/>
        </w:rPr>
        <w:t>，全部耕地划为限烧区的行政村2个，分别为金溪村、麻溪村，其他行政村禁烧耕地面积比例在4.35%-100%。</w:t>
      </w:r>
    </w:p>
    <w:p w14:paraId="23D549A4">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6984896F">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w:t>
      </w:r>
      <w:bookmarkStart w:id="33" w:name="OLE_LINK22"/>
      <w:r>
        <w:rPr>
          <w:rFonts w:hint="eastAsia" w:ascii="仿宋" w:hAnsi="仿宋" w:eastAsia="仿宋" w:cs="Times New Roman"/>
          <w:sz w:val="32"/>
          <w:szCs w:val="32"/>
        </w:rPr>
        <w:t>洛湛铁路</w:t>
      </w:r>
      <w:bookmarkEnd w:id="33"/>
      <w:r>
        <w:rPr>
          <w:rFonts w:hint="eastAsia" w:ascii="仿宋" w:hAnsi="仿宋" w:eastAsia="仿宋" w:cs="Times New Roman"/>
          <w:sz w:val="32"/>
          <w:szCs w:val="32"/>
        </w:rPr>
        <w:t>，共计1条铁路沿线两侧2公里范围内的耕地；</w:t>
      </w:r>
    </w:p>
    <w:p w14:paraId="50B6D853">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(2)G55高速、S81高速，共计2条高速公路沿线两侧2公里范围内的耕地；</w:t>
      </w:r>
    </w:p>
    <w:p w14:paraId="20E0A30E">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(3)S236省道、S238省道、S242省道，共计3条国(省)公路干线沿线两侧1公里范围内的耕地；</w:t>
      </w:r>
    </w:p>
    <w:p w14:paraId="0EF2C40D">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(六)</w:t>
      </w:r>
      <w:bookmarkStart w:id="34" w:name="OLE_LINK4"/>
      <w:r>
        <w:rPr>
          <w:rFonts w:hint="eastAsia" w:ascii="仿宋" w:hAnsi="仿宋" w:eastAsia="仿宋" w:cs="Times New Roman"/>
          <w:b/>
          <w:bCs/>
          <w:sz w:val="32"/>
          <w:szCs w:val="32"/>
        </w:rPr>
        <w:t>横塘镇</w:t>
      </w:r>
      <w:bookmarkEnd w:id="34"/>
    </w:p>
    <w:p w14:paraId="65D62B3D">
      <w:pPr>
        <w:spacing w:line="360" w:lineRule="auto"/>
        <w:ind w:firstLine="640" w:firstLineChars="200"/>
        <w:rPr>
          <w:rFonts w:ascii="仿宋" w:hAnsi="仿宋" w:eastAsia="仿宋" w:cs="Times New Roman"/>
          <w:sz w:val="32"/>
          <w:szCs w:val="32"/>
        </w:rPr>
      </w:pPr>
      <w:bookmarkStart w:id="35" w:name="OLE_LINK1"/>
      <w:r>
        <w:rPr>
          <w:rFonts w:hint="eastAsia" w:ascii="仿宋" w:hAnsi="仿宋" w:eastAsia="仿宋" w:cs="Times New Roman"/>
          <w:sz w:val="32"/>
          <w:szCs w:val="32"/>
        </w:rPr>
        <w:t>横塘镇行政区面积141平方公里，包含21个行政村（居委会），辖区耕地总面积4.36万亩，禁烧区耕地面积1.24万亩，限烧区耕地面积3.12万亩，禁烧耕地面积比例为28.45%。禁烧区涉及7个行政村，其中辖区全部耕地划为禁烧区的行政村2个，分别为宝塔岩村、望明村，全部耕地划为限烧区的行政村（居委会）14个，分别为</w:t>
      </w:r>
      <w:r>
        <w:rPr>
          <w:rFonts w:ascii="仿宋" w:hAnsi="仿宋" w:eastAsia="仿宋" w:cs="Times New Roman"/>
          <w:sz w:val="32"/>
          <w:szCs w:val="32"/>
        </w:rPr>
        <w:t>白滩河村、大栗山村、大坪村、滑石头村、金云村、龙门口村、坪埠头村、三吉村、狮子铺村、石塘村、寿竹塘村、文堂居委会、湘前村、兴隆居委会</w:t>
      </w:r>
      <w:r>
        <w:rPr>
          <w:rFonts w:hint="eastAsia" w:ascii="仿宋" w:hAnsi="仿宋" w:eastAsia="仿宋" w:cs="Times New Roman"/>
          <w:sz w:val="32"/>
          <w:szCs w:val="32"/>
        </w:rPr>
        <w:t>，其他行政村禁烧耕地面积比例在42.3%-100%。</w:t>
      </w:r>
      <w:bookmarkEnd w:id="35"/>
    </w:p>
    <w:p w14:paraId="382BDC68">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12617F7E">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(1)G7221高速，共计1条高速公路沿线两侧2公里范围内的耕地；</w:t>
      </w:r>
    </w:p>
    <w:p w14:paraId="0666B224">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(2)G207国道、G322国道，共计2条国(省)公路干线沿线两侧1公里范围内的耕地；</w:t>
      </w:r>
    </w:p>
    <w:p w14:paraId="558A56F3">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(七)花桥镇</w:t>
      </w:r>
    </w:p>
    <w:p w14:paraId="4EAA58A1">
      <w:pPr>
        <w:spacing w:line="360" w:lineRule="auto"/>
        <w:ind w:firstLine="640" w:firstLineChars="200"/>
        <w:rPr>
          <w:rFonts w:ascii="仿宋" w:hAnsi="仿宋" w:eastAsia="仿宋" w:cs="Times New Roman"/>
          <w:sz w:val="32"/>
          <w:szCs w:val="32"/>
        </w:rPr>
      </w:pPr>
      <w:bookmarkStart w:id="36" w:name="OLE_LINK5"/>
      <w:r>
        <w:rPr>
          <w:rFonts w:hint="eastAsia" w:ascii="仿宋" w:hAnsi="仿宋" w:eastAsia="仿宋" w:cs="Times New Roman"/>
          <w:sz w:val="32"/>
          <w:szCs w:val="32"/>
        </w:rPr>
        <w:t>花桥镇</w:t>
      </w:r>
      <w:bookmarkEnd w:id="36"/>
      <w:r>
        <w:rPr>
          <w:rFonts w:hint="eastAsia" w:ascii="仿宋" w:hAnsi="仿宋" w:eastAsia="仿宋" w:cs="Times New Roman"/>
          <w:sz w:val="32"/>
          <w:szCs w:val="32"/>
        </w:rPr>
        <w:t>行政区面积</w:t>
      </w:r>
      <w:r>
        <w:rPr>
          <w:rFonts w:ascii="仿宋" w:hAnsi="仿宋" w:eastAsia="仿宋" w:cs="Times New Roman"/>
          <w:sz w:val="32"/>
          <w:szCs w:val="32"/>
        </w:rPr>
        <w:t>52.</w:t>
      </w:r>
      <w:r>
        <w:rPr>
          <w:rFonts w:hint="eastAsia" w:ascii="仿宋" w:hAnsi="仿宋" w:eastAsia="仿宋" w:cs="Times New Roman"/>
          <w:sz w:val="32"/>
          <w:szCs w:val="32"/>
        </w:rPr>
        <w:t>98平方公里，包含12个行政村</w:t>
      </w:r>
      <w:bookmarkStart w:id="37" w:name="OLE_LINK31"/>
      <w:bookmarkStart w:id="38" w:name="OLE_LINK32"/>
      <w:r>
        <w:rPr>
          <w:rFonts w:hint="eastAsia" w:ascii="仿宋" w:hAnsi="仿宋" w:eastAsia="仿宋" w:cs="Times New Roman"/>
          <w:sz w:val="32"/>
          <w:szCs w:val="32"/>
        </w:rPr>
        <w:t>（居委会）</w:t>
      </w:r>
      <w:bookmarkEnd w:id="37"/>
      <w:bookmarkEnd w:id="38"/>
      <w:r>
        <w:rPr>
          <w:rFonts w:hint="eastAsia" w:ascii="仿宋" w:hAnsi="仿宋" w:eastAsia="仿宋" w:cs="Times New Roman"/>
          <w:sz w:val="32"/>
          <w:szCs w:val="32"/>
        </w:rPr>
        <w:t>，辖区耕地总面积1.61万亩，禁烧区耕地面积1.61万亩，限烧区耕地面积0万亩，禁烧耕地面积比例为100%。禁烧区涉及12个行政村（居委会），其中辖区全部耕地划为禁烧区的行政村（居委会）12个，分别为</w:t>
      </w:r>
      <w:r>
        <w:rPr>
          <w:rFonts w:ascii="仿宋" w:hAnsi="仿宋" w:eastAsia="仿宋" w:cs="Times New Roman"/>
          <w:sz w:val="32"/>
          <w:szCs w:val="32"/>
        </w:rPr>
        <w:t>陈樟村、刘阳村、青塘村、苏门村、唐家村、文明村、香井村、星火村、中塘村、花桥居委会、花山居委会、花东居委会</w:t>
      </w:r>
      <w:r>
        <w:rPr>
          <w:rFonts w:hint="eastAsia" w:ascii="仿宋" w:hAnsi="仿宋" w:eastAsia="仿宋" w:cs="Times New Roman"/>
          <w:sz w:val="32"/>
          <w:szCs w:val="32"/>
        </w:rPr>
        <w:t>，全部耕地划为限烧区的行政村0个，其他行政村禁烧耕地面积比例在100%。</w:t>
      </w:r>
    </w:p>
    <w:p w14:paraId="40C51284">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1860ACDC">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(1)G55高速，共计1条高速公路沿线两侧2公里范围内的耕地；</w:t>
      </w:r>
    </w:p>
    <w:p w14:paraId="3501F392">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(2)S236省道，共计1条国(省)公路干线沿线两侧1公里范围内的耕地；</w:t>
      </w:r>
    </w:p>
    <w:p w14:paraId="65883F74">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(八)</w:t>
      </w:r>
      <w:bookmarkStart w:id="39" w:name="OLE_LINK6"/>
      <w:r>
        <w:rPr>
          <w:rFonts w:hint="eastAsia" w:ascii="仿宋" w:hAnsi="仿宋" w:eastAsia="仿宋" w:cs="Times New Roman"/>
          <w:b/>
          <w:bCs/>
          <w:sz w:val="32"/>
          <w:szCs w:val="32"/>
        </w:rPr>
        <w:t>黄泥洞林场</w:t>
      </w:r>
      <w:bookmarkEnd w:id="39"/>
    </w:p>
    <w:p w14:paraId="7AFEF91F">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黄泥洞林场行政区面积27.39平方公里，包含黄泥洞国有林场，辖区耕地总面积0.01万亩，禁烧区耕地面积0万亩，限烧区耕地面积0.01万亩，禁烧耕地面积比例为0%，全部为限烧区。</w:t>
      </w:r>
    </w:p>
    <w:p w14:paraId="7D2E8E43">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(九)</w:t>
      </w:r>
      <w:bookmarkStart w:id="40" w:name="OLE_LINK7"/>
      <w:r>
        <w:rPr>
          <w:rFonts w:hint="eastAsia" w:ascii="仿宋" w:hAnsi="仿宋" w:eastAsia="仿宋" w:cs="Times New Roman"/>
          <w:b/>
          <w:bCs/>
          <w:sz w:val="32"/>
          <w:szCs w:val="32"/>
        </w:rPr>
        <w:t>井头圩镇</w:t>
      </w:r>
      <w:bookmarkEnd w:id="40"/>
    </w:p>
    <w:p w14:paraId="5C43F495">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井头圩镇行政区面积165.65平方公里，包含26个行政村</w:t>
      </w:r>
      <w:bookmarkStart w:id="41" w:name="OLE_LINK33"/>
      <w:bookmarkStart w:id="42" w:name="OLE_LINK34"/>
      <w:bookmarkStart w:id="43" w:name="OLE_LINK35"/>
      <w:r>
        <w:rPr>
          <w:rFonts w:hint="eastAsia" w:ascii="仿宋" w:hAnsi="仿宋" w:eastAsia="仿宋" w:cs="Times New Roman"/>
          <w:sz w:val="32"/>
          <w:szCs w:val="32"/>
        </w:rPr>
        <w:t>（居委会）</w:t>
      </w:r>
      <w:bookmarkEnd w:id="41"/>
      <w:bookmarkEnd w:id="42"/>
      <w:bookmarkEnd w:id="43"/>
      <w:r>
        <w:rPr>
          <w:rFonts w:hint="eastAsia" w:ascii="仿宋" w:hAnsi="仿宋" w:eastAsia="仿宋" w:cs="Times New Roman"/>
          <w:sz w:val="32"/>
          <w:szCs w:val="32"/>
        </w:rPr>
        <w:t>，辖区耕地总面积7.11万亩，禁烧区耕地面积6.48万亩，限烧区耕地面积0.63万亩，禁烧耕地面积比例为91.2%。禁烧区涉及25个行政村（居委会），其中辖区全部耕地划为禁烧区的行政村（居委会）23个，分别为</w:t>
      </w:r>
      <w:r>
        <w:rPr>
          <w:rFonts w:ascii="仿宋" w:hAnsi="仿宋" w:eastAsia="仿宋" w:cs="Times New Roman"/>
          <w:sz w:val="32"/>
          <w:szCs w:val="32"/>
        </w:rPr>
        <w:t>齐心村</w:t>
      </w:r>
      <w:r>
        <w:rPr>
          <w:rFonts w:hint="eastAsia" w:ascii="仿宋" w:hAnsi="仿宋" w:eastAsia="仿宋" w:cs="Times New Roman"/>
          <w:sz w:val="32"/>
          <w:szCs w:val="32"/>
        </w:rPr>
        <w:t>、</w:t>
      </w:r>
      <w:r>
        <w:rPr>
          <w:rFonts w:ascii="仿宋" w:hAnsi="仿宋" w:eastAsia="仿宋" w:cs="Times New Roman"/>
          <w:sz w:val="32"/>
          <w:szCs w:val="32"/>
        </w:rPr>
        <w:t>八字门村</w:t>
      </w:r>
      <w:r>
        <w:rPr>
          <w:rFonts w:hint="eastAsia" w:ascii="仿宋" w:hAnsi="仿宋" w:eastAsia="仿宋" w:cs="Times New Roman"/>
          <w:sz w:val="32"/>
          <w:szCs w:val="32"/>
        </w:rPr>
        <w:t>、</w:t>
      </w:r>
      <w:r>
        <w:rPr>
          <w:rFonts w:ascii="仿宋" w:hAnsi="仿宋" w:eastAsia="仿宋" w:cs="Times New Roman"/>
          <w:sz w:val="32"/>
          <w:szCs w:val="32"/>
        </w:rPr>
        <w:t>宝鱼村</w:t>
      </w:r>
      <w:r>
        <w:rPr>
          <w:rFonts w:hint="eastAsia" w:ascii="仿宋" w:hAnsi="仿宋" w:eastAsia="仿宋" w:cs="Times New Roman"/>
          <w:sz w:val="32"/>
          <w:szCs w:val="32"/>
        </w:rPr>
        <w:t>、</w:t>
      </w:r>
      <w:r>
        <w:rPr>
          <w:rFonts w:ascii="仿宋" w:hAnsi="仿宋" w:eastAsia="仿宋" w:cs="Times New Roman"/>
          <w:sz w:val="32"/>
          <w:szCs w:val="32"/>
        </w:rPr>
        <w:t>大义村</w:t>
      </w:r>
      <w:r>
        <w:rPr>
          <w:rFonts w:hint="eastAsia" w:ascii="仿宋" w:hAnsi="仿宋" w:eastAsia="仿宋" w:cs="Times New Roman"/>
          <w:sz w:val="32"/>
          <w:szCs w:val="32"/>
        </w:rPr>
        <w:t>、</w:t>
      </w:r>
      <w:r>
        <w:rPr>
          <w:rFonts w:ascii="仿宋" w:hAnsi="仿宋" w:eastAsia="仿宋" w:cs="Times New Roman"/>
          <w:sz w:val="32"/>
          <w:szCs w:val="32"/>
        </w:rPr>
        <w:t>凡龙圩村</w:t>
      </w:r>
      <w:r>
        <w:rPr>
          <w:rFonts w:hint="eastAsia" w:ascii="仿宋" w:hAnsi="仿宋" w:eastAsia="仿宋" w:cs="Times New Roman"/>
          <w:sz w:val="32"/>
          <w:szCs w:val="32"/>
        </w:rPr>
        <w:t>、</w:t>
      </w:r>
      <w:r>
        <w:rPr>
          <w:rFonts w:ascii="仿宋" w:hAnsi="仿宋" w:eastAsia="仿宋" w:cs="Times New Roman"/>
          <w:sz w:val="32"/>
          <w:szCs w:val="32"/>
        </w:rPr>
        <w:t>枫木塘村</w:t>
      </w:r>
      <w:r>
        <w:rPr>
          <w:rFonts w:hint="eastAsia" w:ascii="仿宋" w:hAnsi="仿宋" w:eastAsia="仿宋" w:cs="Times New Roman"/>
          <w:sz w:val="32"/>
          <w:szCs w:val="32"/>
        </w:rPr>
        <w:t>、</w:t>
      </w:r>
      <w:r>
        <w:rPr>
          <w:rFonts w:ascii="仿宋" w:hAnsi="仿宋" w:eastAsia="仿宋" w:cs="Times New Roman"/>
          <w:sz w:val="32"/>
          <w:szCs w:val="32"/>
        </w:rPr>
        <w:t>凤凰村</w:t>
      </w:r>
      <w:r>
        <w:rPr>
          <w:rFonts w:hint="eastAsia" w:ascii="仿宋" w:hAnsi="仿宋" w:eastAsia="仿宋" w:cs="Times New Roman"/>
          <w:sz w:val="32"/>
          <w:szCs w:val="32"/>
        </w:rPr>
        <w:t>、</w:t>
      </w:r>
      <w:r>
        <w:rPr>
          <w:rFonts w:ascii="仿宋" w:hAnsi="仿宋" w:eastAsia="仿宋" w:cs="Times New Roman"/>
          <w:sz w:val="32"/>
          <w:szCs w:val="32"/>
        </w:rPr>
        <w:t>古楼兰家村</w:t>
      </w:r>
      <w:r>
        <w:rPr>
          <w:rFonts w:hint="eastAsia" w:ascii="仿宋" w:hAnsi="仿宋" w:eastAsia="仿宋" w:cs="Times New Roman"/>
          <w:sz w:val="32"/>
          <w:szCs w:val="32"/>
        </w:rPr>
        <w:t>、</w:t>
      </w:r>
      <w:r>
        <w:rPr>
          <w:rFonts w:ascii="仿宋" w:hAnsi="仿宋" w:eastAsia="仿宋" w:cs="Times New Roman"/>
          <w:sz w:val="32"/>
          <w:szCs w:val="32"/>
        </w:rPr>
        <w:t>蒋家源村</w:t>
      </w:r>
      <w:r>
        <w:rPr>
          <w:rFonts w:hint="eastAsia" w:ascii="仿宋" w:hAnsi="仿宋" w:eastAsia="仿宋" w:cs="Times New Roman"/>
          <w:sz w:val="32"/>
          <w:szCs w:val="32"/>
        </w:rPr>
        <w:t>、</w:t>
      </w:r>
      <w:r>
        <w:rPr>
          <w:rFonts w:ascii="仿宋" w:hAnsi="仿宋" w:eastAsia="仿宋" w:cs="Times New Roman"/>
          <w:sz w:val="32"/>
          <w:szCs w:val="32"/>
        </w:rPr>
        <w:t>井头圩村</w:t>
      </w:r>
      <w:r>
        <w:rPr>
          <w:rFonts w:hint="eastAsia" w:ascii="仿宋" w:hAnsi="仿宋" w:eastAsia="仿宋" w:cs="Times New Roman"/>
          <w:sz w:val="32"/>
          <w:szCs w:val="32"/>
        </w:rPr>
        <w:t>、</w:t>
      </w:r>
      <w:r>
        <w:rPr>
          <w:rFonts w:ascii="仿宋" w:hAnsi="仿宋" w:eastAsia="仿宋" w:cs="Times New Roman"/>
          <w:sz w:val="32"/>
          <w:szCs w:val="32"/>
        </w:rPr>
        <w:t>廖家村</w:t>
      </w:r>
      <w:r>
        <w:rPr>
          <w:rFonts w:hint="eastAsia" w:ascii="仿宋" w:hAnsi="仿宋" w:eastAsia="仿宋" w:cs="Times New Roman"/>
          <w:sz w:val="32"/>
          <w:szCs w:val="32"/>
        </w:rPr>
        <w:t>、</w:t>
      </w:r>
      <w:r>
        <w:rPr>
          <w:rFonts w:ascii="仿宋" w:hAnsi="仿宋" w:eastAsia="仿宋" w:cs="Times New Roman"/>
          <w:sz w:val="32"/>
          <w:szCs w:val="32"/>
        </w:rPr>
        <w:t>岭观村</w:t>
      </w:r>
      <w:r>
        <w:rPr>
          <w:rFonts w:hint="eastAsia" w:ascii="仿宋" w:hAnsi="仿宋" w:eastAsia="仿宋" w:cs="Times New Roman"/>
          <w:sz w:val="32"/>
          <w:szCs w:val="32"/>
        </w:rPr>
        <w:t>、</w:t>
      </w:r>
      <w:r>
        <w:rPr>
          <w:rFonts w:ascii="仿宋" w:hAnsi="仿宋" w:eastAsia="仿宋" w:cs="Times New Roman"/>
          <w:sz w:val="32"/>
          <w:szCs w:val="32"/>
        </w:rPr>
        <w:t>满竹村</w:t>
      </w:r>
      <w:r>
        <w:rPr>
          <w:rFonts w:hint="eastAsia" w:ascii="仿宋" w:hAnsi="仿宋" w:eastAsia="仿宋" w:cs="Times New Roman"/>
          <w:sz w:val="32"/>
          <w:szCs w:val="32"/>
        </w:rPr>
        <w:t>、</w:t>
      </w:r>
      <w:r>
        <w:rPr>
          <w:rFonts w:ascii="仿宋" w:hAnsi="仿宋" w:eastAsia="仿宋" w:cs="Times New Roman"/>
          <w:sz w:val="32"/>
          <w:szCs w:val="32"/>
        </w:rPr>
        <w:t>山口铺村</w:t>
      </w:r>
      <w:r>
        <w:rPr>
          <w:rFonts w:hint="eastAsia" w:ascii="仿宋" w:hAnsi="仿宋" w:eastAsia="仿宋" w:cs="Times New Roman"/>
          <w:sz w:val="32"/>
          <w:szCs w:val="32"/>
        </w:rPr>
        <w:t>、</w:t>
      </w:r>
      <w:r>
        <w:rPr>
          <w:rFonts w:ascii="仿宋" w:hAnsi="仿宋" w:eastAsia="仿宋" w:cs="Times New Roman"/>
          <w:sz w:val="32"/>
          <w:szCs w:val="32"/>
        </w:rPr>
        <w:t>上大村</w:t>
      </w:r>
      <w:r>
        <w:rPr>
          <w:rFonts w:hint="eastAsia" w:ascii="仿宋" w:hAnsi="仿宋" w:eastAsia="仿宋" w:cs="Times New Roman"/>
          <w:sz w:val="32"/>
          <w:szCs w:val="32"/>
        </w:rPr>
        <w:t>、</w:t>
      </w:r>
      <w:r>
        <w:rPr>
          <w:rFonts w:ascii="仿宋" w:hAnsi="仿宋" w:eastAsia="仿宋" w:cs="Times New Roman"/>
          <w:sz w:val="32"/>
          <w:szCs w:val="32"/>
        </w:rPr>
        <w:t>石板铺村</w:t>
      </w:r>
      <w:r>
        <w:rPr>
          <w:rFonts w:hint="eastAsia" w:ascii="仿宋" w:hAnsi="仿宋" w:eastAsia="仿宋" w:cs="Times New Roman"/>
          <w:sz w:val="32"/>
          <w:szCs w:val="32"/>
        </w:rPr>
        <w:t>、</w:t>
      </w:r>
      <w:r>
        <w:rPr>
          <w:rFonts w:ascii="仿宋" w:hAnsi="仿宋" w:eastAsia="仿宋" w:cs="Times New Roman"/>
          <w:sz w:val="32"/>
          <w:szCs w:val="32"/>
        </w:rPr>
        <w:t>栖村</w:t>
      </w:r>
      <w:r>
        <w:rPr>
          <w:rFonts w:hint="eastAsia" w:ascii="仿宋" w:hAnsi="仿宋" w:eastAsia="仿宋" w:cs="Times New Roman"/>
          <w:sz w:val="32"/>
          <w:szCs w:val="32"/>
        </w:rPr>
        <w:t>、</w:t>
      </w:r>
      <w:r>
        <w:rPr>
          <w:rFonts w:ascii="仿宋" w:hAnsi="仿宋" w:eastAsia="仿宋" w:cs="Times New Roman"/>
          <w:sz w:val="32"/>
          <w:szCs w:val="32"/>
        </w:rPr>
        <w:t>新塘村</w:t>
      </w:r>
      <w:r>
        <w:rPr>
          <w:rFonts w:hint="eastAsia" w:ascii="仿宋" w:hAnsi="仿宋" w:eastAsia="仿宋" w:cs="Times New Roman"/>
          <w:sz w:val="32"/>
          <w:szCs w:val="32"/>
        </w:rPr>
        <w:t>、</w:t>
      </w:r>
      <w:r>
        <w:rPr>
          <w:rFonts w:ascii="仿宋" w:hAnsi="仿宋" w:eastAsia="仿宋" w:cs="Times New Roman"/>
          <w:sz w:val="32"/>
          <w:szCs w:val="32"/>
        </w:rPr>
        <w:t>永兴村</w:t>
      </w:r>
      <w:r>
        <w:rPr>
          <w:rFonts w:hint="eastAsia" w:ascii="仿宋" w:hAnsi="仿宋" w:eastAsia="仿宋" w:cs="Times New Roman"/>
          <w:sz w:val="32"/>
          <w:szCs w:val="32"/>
        </w:rPr>
        <w:t>、</w:t>
      </w:r>
      <w:r>
        <w:rPr>
          <w:rFonts w:ascii="仿宋" w:hAnsi="仿宋" w:eastAsia="仿宋" w:cs="Times New Roman"/>
          <w:sz w:val="32"/>
          <w:szCs w:val="32"/>
        </w:rPr>
        <w:t>紫江村</w:t>
      </w:r>
      <w:r>
        <w:rPr>
          <w:rFonts w:hint="eastAsia" w:ascii="仿宋" w:hAnsi="仿宋" w:eastAsia="仿宋" w:cs="Times New Roman"/>
          <w:sz w:val="32"/>
          <w:szCs w:val="32"/>
        </w:rPr>
        <w:t>、火车站居委会、老街居委会、草鞋街居委会，全部耕地划为限烧区的行政村1个，为芭蕉村，其他行政村禁烧耕地面积比例在24.77-100%。</w:t>
      </w:r>
    </w:p>
    <w:p w14:paraId="4421DC7B">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545AC686">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(1)东安县政府所在城市的城区实体地域及外围5公里范围内的耕地；</w:t>
      </w:r>
    </w:p>
    <w:p w14:paraId="6A02DE78">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(2)湘桂铁路、衡柳铁路，共计2条铁路沿线两侧2公里范围内的耕地；</w:t>
      </w:r>
    </w:p>
    <w:p w14:paraId="7B405EE8">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(3)S81高速，共计1条高速公路沿线两侧2公里范围内的耕地；</w:t>
      </w:r>
    </w:p>
    <w:p w14:paraId="3EEF2A9F">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(4)G207国道、S340省道、S217省道、S242省道，共计4条国(省)公路干线沿线两侧1公里范围内的耕地；</w:t>
      </w:r>
    </w:p>
    <w:p w14:paraId="6362DEC9">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(5)永州零陵机场，共计1个机场跑道中心线两侧10公里、跑道端外20公里范围内涉及东安县的耕地。</w:t>
      </w:r>
    </w:p>
    <w:p w14:paraId="08EF5E7E">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(十)</w:t>
      </w:r>
      <w:bookmarkStart w:id="44" w:name="OLE_LINK8"/>
      <w:r>
        <w:rPr>
          <w:rFonts w:hint="eastAsia" w:ascii="仿宋" w:hAnsi="仿宋" w:eastAsia="仿宋" w:cs="Times New Roman"/>
          <w:b/>
          <w:bCs/>
          <w:sz w:val="32"/>
          <w:szCs w:val="32"/>
        </w:rPr>
        <w:t>芦洪市镇</w:t>
      </w:r>
      <w:bookmarkEnd w:id="44"/>
    </w:p>
    <w:p w14:paraId="605D9E42">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芦洪市镇行政区面积</w:t>
      </w:r>
      <w:r>
        <w:rPr>
          <w:rFonts w:ascii="仿宋" w:hAnsi="仿宋" w:eastAsia="仿宋" w:cs="Times New Roman"/>
          <w:sz w:val="32"/>
          <w:szCs w:val="32"/>
        </w:rPr>
        <w:t>136.45</w:t>
      </w:r>
      <w:r>
        <w:rPr>
          <w:rFonts w:hint="eastAsia" w:ascii="仿宋" w:hAnsi="仿宋" w:eastAsia="仿宋" w:cs="Times New Roman"/>
          <w:sz w:val="32"/>
          <w:szCs w:val="32"/>
        </w:rPr>
        <w:t>平方公里，</w:t>
      </w:r>
      <w:bookmarkStart w:id="45" w:name="OLE_LINK17"/>
      <w:bookmarkStart w:id="46" w:name="OLE_LINK16"/>
      <w:r>
        <w:rPr>
          <w:rFonts w:hint="eastAsia" w:ascii="仿宋" w:hAnsi="仿宋" w:eastAsia="仿宋" w:cs="Times New Roman"/>
          <w:sz w:val="32"/>
          <w:szCs w:val="32"/>
        </w:rPr>
        <w:t>包含38个行政村(社区/居委会)</w:t>
      </w:r>
      <w:bookmarkEnd w:id="45"/>
      <w:bookmarkEnd w:id="46"/>
      <w:r>
        <w:rPr>
          <w:rFonts w:hint="eastAsia" w:ascii="仿宋" w:hAnsi="仿宋" w:eastAsia="仿宋" w:cs="Times New Roman"/>
          <w:sz w:val="32"/>
          <w:szCs w:val="32"/>
        </w:rPr>
        <w:t>，辖区耕地总面积5.35万亩，禁烧区耕地面积4.48万亩，限烧区耕地面积0.87万亩，禁烧耕地面积比例为83.78%。禁烧区涉及36个行政村(社区/居委会)，其中辖区全部耕地划为禁烧区的行政村(社区/居委会)31个，分别为白木村、慈巴铺村、大枧塘村、大竹村、枫塘村、和平村、华兴村、金润村、九龙岩村、芦洪村、芦江村、南江村、社塘村、石施村、唐家桥村、天子岭村、同心村、王家亭村、伍家桥村、西江桥村、小正村、新民村、杨柳井村、赵家井村、柘刺坪村、中心村、应阳社区、大街居委会、九连桥居委会、祖师殿居委会、圩镇居委会，全部耕地划为限烧区的行政村2个，为留驾岌村、新田村，其他行政村禁烧耕地面积比例在22.29-100%。</w:t>
      </w:r>
    </w:p>
    <w:p w14:paraId="3EFBB375">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20875773">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(1)洛湛铁路，共计1条铁路沿线两侧2公里范围内的耕地；</w:t>
      </w:r>
    </w:p>
    <w:p w14:paraId="473E910B">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(2)G55高速、S81高速，共计2条高速公路沿线两侧2公里范围内的耕地；</w:t>
      </w:r>
    </w:p>
    <w:p w14:paraId="63E63603">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(3)S236省道、S238省道、S242省道，共计3条国(省)公路干线沿线两侧1公里范围内的耕地；</w:t>
      </w:r>
    </w:p>
    <w:p w14:paraId="54E16AFA">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(十一)</w:t>
      </w:r>
      <w:bookmarkStart w:id="47" w:name="OLE_LINK10"/>
      <w:r>
        <w:rPr>
          <w:rFonts w:hint="eastAsia" w:ascii="仿宋" w:hAnsi="仿宋" w:eastAsia="仿宋" w:cs="Times New Roman"/>
          <w:b/>
          <w:bCs/>
          <w:sz w:val="32"/>
          <w:szCs w:val="32"/>
        </w:rPr>
        <w:t>鹿马桥镇</w:t>
      </w:r>
      <w:bookmarkEnd w:id="47"/>
    </w:p>
    <w:p w14:paraId="77197DC4">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鹿马桥镇行政区面积152.03平方公里，包含20个行政村</w:t>
      </w:r>
      <w:bookmarkStart w:id="48" w:name="OLE_LINK36"/>
      <w:bookmarkStart w:id="49" w:name="OLE_LINK37"/>
      <w:r>
        <w:rPr>
          <w:rFonts w:hint="eastAsia" w:ascii="仿宋" w:hAnsi="仿宋" w:eastAsia="仿宋" w:cs="Times New Roman"/>
          <w:sz w:val="32"/>
          <w:szCs w:val="32"/>
        </w:rPr>
        <w:t>（社区/居委会）</w:t>
      </w:r>
      <w:bookmarkEnd w:id="48"/>
      <w:bookmarkEnd w:id="49"/>
      <w:r>
        <w:rPr>
          <w:rFonts w:hint="eastAsia" w:ascii="仿宋" w:hAnsi="仿宋" w:eastAsia="仿宋" w:cs="Times New Roman"/>
          <w:sz w:val="32"/>
          <w:szCs w:val="32"/>
        </w:rPr>
        <w:t>，辖区耕地总面积3.15万亩，禁烧区耕地面积0.72万亩，限烧区耕地面积2.43万亩，禁烧耕地面积比例为22.96%。禁烧区涉及11个行政村</w:t>
      </w:r>
      <w:bookmarkStart w:id="50" w:name="OLE_LINK39"/>
      <w:bookmarkStart w:id="51" w:name="OLE_LINK38"/>
      <w:r>
        <w:rPr>
          <w:rFonts w:hint="eastAsia" w:ascii="仿宋" w:hAnsi="仿宋" w:eastAsia="仿宋" w:cs="Times New Roman"/>
          <w:sz w:val="32"/>
          <w:szCs w:val="32"/>
        </w:rPr>
        <w:t>（社区/居委会）</w:t>
      </w:r>
      <w:bookmarkEnd w:id="50"/>
      <w:bookmarkEnd w:id="51"/>
      <w:r>
        <w:rPr>
          <w:rFonts w:hint="eastAsia" w:ascii="仿宋" w:hAnsi="仿宋" w:eastAsia="仿宋" w:cs="Times New Roman"/>
          <w:sz w:val="32"/>
          <w:szCs w:val="32"/>
        </w:rPr>
        <w:t>，其中辖区全部耕地划为禁烧区的行政村(居委会)4个，分别为黎山居委会，伍通庙村，新村居委会，新街居委会，全部耕地划为限烧区的行政村（社区）9个，为大宽村、黄泥洞村、简家岭村、金江村、马坪村、沙溪农村社区、石坝冲村、肖家岭村、兴隆村，其他行政村禁烧耕地面积比例在0.14%-100%。</w:t>
      </w:r>
    </w:p>
    <w:p w14:paraId="4970BD7D">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5A8C9C4E">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S238</w:t>
      </w:r>
      <w:r>
        <w:rPr>
          <w:rFonts w:ascii="仿宋" w:hAnsi="仿宋" w:eastAsia="仿宋" w:cs="Times New Roman"/>
          <w:sz w:val="32"/>
          <w:szCs w:val="32"/>
        </w:rPr>
        <w:t>省道、</w:t>
      </w:r>
      <w:r>
        <w:rPr>
          <w:rFonts w:hint="eastAsia" w:ascii="仿宋" w:hAnsi="仿宋" w:eastAsia="仿宋" w:cs="Times New Roman"/>
          <w:sz w:val="32"/>
          <w:szCs w:val="32"/>
        </w:rPr>
        <w:t>S242省道，共计2条国(省)公路干线沿线两侧1公里范围内的耕地；</w:t>
      </w:r>
    </w:p>
    <w:p w14:paraId="5F5D8DE2">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(十二)</w:t>
      </w:r>
      <w:bookmarkStart w:id="52" w:name="OLE_LINK9"/>
      <w:r>
        <w:rPr>
          <w:rFonts w:hint="eastAsia" w:ascii="仿宋" w:hAnsi="仿宋" w:eastAsia="仿宋" w:cs="Times New Roman"/>
          <w:b/>
          <w:bCs/>
          <w:sz w:val="32"/>
          <w:szCs w:val="32"/>
        </w:rPr>
        <w:t>南桥镇</w:t>
      </w:r>
      <w:bookmarkEnd w:id="52"/>
    </w:p>
    <w:p w14:paraId="35FBFF55">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南桥镇行政区面积</w:t>
      </w:r>
      <w:r>
        <w:rPr>
          <w:rFonts w:ascii="仿宋" w:hAnsi="仿宋" w:eastAsia="仿宋" w:cs="Times New Roman"/>
          <w:sz w:val="32"/>
          <w:szCs w:val="32"/>
        </w:rPr>
        <w:t>103.7</w:t>
      </w:r>
      <w:r>
        <w:rPr>
          <w:rFonts w:hint="eastAsia" w:ascii="仿宋" w:hAnsi="仿宋" w:eastAsia="仿宋" w:cs="Times New Roman"/>
          <w:sz w:val="32"/>
          <w:szCs w:val="32"/>
        </w:rPr>
        <w:t>2平方公里，包含22个行政村和社区，辖区耕地总面积3.46万亩，禁烧区耕地面积1.53万亩，限烧区耕地面积1.94万亩，禁烧耕地面积比例为44.03%。禁烧区涉及19个行政村，其中辖区全部耕地划为禁烧区的行政村（居委会）1个，为铁宝居委会，全部耕地划为限烧区的行政村3个，为曹木村、杉木村、双江清水村，其他行政村禁烧耕地面积比例在0.86%-100%。</w:t>
      </w:r>
    </w:p>
    <w:p w14:paraId="1A7750C9">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0E0821F3">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(1)G55高速，共计1条高速公路沿线两侧2公里范围内的耕地；</w:t>
      </w:r>
    </w:p>
    <w:p w14:paraId="7F0E600D">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(2)S236省道，共计1条国(省)公路干线沿线两侧1公里范围内的耕地；</w:t>
      </w:r>
    </w:p>
    <w:p w14:paraId="2B2ECAE7">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(十三)石期市镇</w:t>
      </w:r>
    </w:p>
    <w:p w14:paraId="649FDFBE">
      <w:pPr>
        <w:spacing w:line="360" w:lineRule="auto"/>
        <w:ind w:firstLine="640" w:firstLineChars="200"/>
        <w:rPr>
          <w:rFonts w:ascii="仿宋" w:hAnsi="仿宋" w:eastAsia="仿宋" w:cs="Times New Roman"/>
          <w:sz w:val="32"/>
          <w:szCs w:val="32"/>
        </w:rPr>
      </w:pPr>
      <w:bookmarkStart w:id="53" w:name="OLE_LINK11"/>
      <w:r>
        <w:rPr>
          <w:rFonts w:hint="eastAsia" w:ascii="仿宋" w:hAnsi="仿宋" w:eastAsia="仿宋" w:cs="Times New Roman"/>
          <w:sz w:val="32"/>
          <w:szCs w:val="32"/>
        </w:rPr>
        <w:t>石期市镇</w:t>
      </w:r>
      <w:bookmarkEnd w:id="53"/>
      <w:r>
        <w:rPr>
          <w:rFonts w:hint="eastAsia" w:ascii="仿宋" w:hAnsi="仿宋" w:eastAsia="仿宋" w:cs="Times New Roman"/>
          <w:sz w:val="32"/>
          <w:szCs w:val="32"/>
        </w:rPr>
        <w:t>行政区面积122.42平方公里，包含22个行政村</w:t>
      </w:r>
      <w:bookmarkStart w:id="54" w:name="OLE_LINK44"/>
      <w:bookmarkStart w:id="55" w:name="OLE_LINK45"/>
      <w:r>
        <w:rPr>
          <w:rFonts w:hint="eastAsia" w:ascii="仿宋" w:hAnsi="仿宋" w:eastAsia="仿宋" w:cs="Times New Roman"/>
          <w:sz w:val="32"/>
          <w:szCs w:val="32"/>
        </w:rPr>
        <w:t>（居委会）</w:t>
      </w:r>
      <w:bookmarkEnd w:id="54"/>
      <w:bookmarkEnd w:id="55"/>
      <w:r>
        <w:rPr>
          <w:rFonts w:hint="eastAsia" w:ascii="仿宋" w:hAnsi="仿宋" w:eastAsia="仿宋" w:cs="Times New Roman"/>
          <w:sz w:val="32"/>
          <w:szCs w:val="32"/>
        </w:rPr>
        <w:t>，辖区耕地总面积5.1万亩，禁烧区耕地面积3.27万亩，限烧区耕地面积1.73万亩，禁烧耕地面积比例为64.19%。禁烧区涉及17个行政村（居委会），其中辖区全部耕地划为禁烧区的行政村（居委会）13个，分别为双杨村、洪井村、竹洲村、石马村、毛家村、大启村、建河村、台凡村、马头村、晓埠塘村、解放路居委会、胜利路居委会、民主路居委会，全部耕地划为限烧区的行政村5个，为新华村、天龙村、大荣底村、新合村、谭霞塘村，其他行政村禁烧耕地面积比例在0.01%-100%。</w:t>
      </w:r>
    </w:p>
    <w:p w14:paraId="76D6A5E3">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26C4CDF3">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(1)G7221高速、S81高速，共计2条高速公路沿线两侧2公里范围内的耕地；</w:t>
      </w:r>
    </w:p>
    <w:p w14:paraId="0712065E">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(2)G207国道，共计1条国(省)公路干线沿线两侧1公里范围内的耕地；</w:t>
      </w:r>
    </w:p>
    <w:p w14:paraId="4111149C">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(3)永州零陵机场，共计1个机场跑道中心线两侧10公里、跑道端外20公里范围内涉及东安县的耕地。</w:t>
      </w:r>
    </w:p>
    <w:p w14:paraId="32857E9A">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(十四)</w:t>
      </w:r>
      <w:bookmarkStart w:id="56" w:name="OLE_LINK12"/>
      <w:r>
        <w:rPr>
          <w:rFonts w:hint="eastAsia" w:ascii="仿宋" w:hAnsi="仿宋" w:eastAsia="仿宋" w:cs="Times New Roman"/>
          <w:b/>
          <w:bCs/>
          <w:sz w:val="32"/>
          <w:szCs w:val="32"/>
        </w:rPr>
        <w:t>水岭乡</w:t>
      </w:r>
      <w:bookmarkEnd w:id="56"/>
    </w:p>
    <w:p w14:paraId="4E97D1BE">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水岭乡行政区面积</w:t>
      </w:r>
      <w:r>
        <w:rPr>
          <w:rFonts w:ascii="仿宋" w:hAnsi="仿宋" w:eastAsia="仿宋" w:cs="Times New Roman"/>
          <w:sz w:val="32"/>
          <w:szCs w:val="32"/>
        </w:rPr>
        <w:t>59</w:t>
      </w:r>
      <w:r>
        <w:rPr>
          <w:rFonts w:hint="eastAsia" w:ascii="仿宋" w:hAnsi="仿宋" w:eastAsia="仿宋" w:cs="Times New Roman"/>
          <w:sz w:val="32"/>
          <w:szCs w:val="32"/>
        </w:rPr>
        <w:t>.9平方公里，包含9个行政村和社区，辖区耕地总面积2.25万亩，禁烧区耕地面积0.55万亩，限烧区耕地面积1.7万亩，禁烧耕地面积比例为24.27%。禁烧区涉及4个行政村，其中辖区全部耕地划为禁烧区的行政村0个，全部耕地划为限烧区的行政村5个，为水岭村、吊牛坪村、金岭村、下丰村、燕桂村，其他行政村禁烧耕地面积比例在14.58%-98.13%。</w:t>
      </w:r>
    </w:p>
    <w:p w14:paraId="76C31F3A">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14B5187E">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(1)东安县政府所在城市的城区实体地域及外围5公里范围内的耕地；</w:t>
      </w:r>
    </w:p>
    <w:p w14:paraId="2CC7853A">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(2)G207国道，共计1条国(省)公路干线沿线两侧1公里范围内的耕地；</w:t>
      </w:r>
    </w:p>
    <w:p w14:paraId="6FA016DF">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(十五)</w:t>
      </w:r>
      <w:bookmarkStart w:id="57" w:name="OLE_LINK13"/>
      <w:r>
        <w:rPr>
          <w:rFonts w:hint="eastAsia" w:ascii="仿宋" w:hAnsi="仿宋" w:eastAsia="仿宋" w:cs="Times New Roman"/>
          <w:b/>
          <w:bCs/>
          <w:sz w:val="32"/>
          <w:szCs w:val="32"/>
        </w:rPr>
        <w:t>新圩江镇</w:t>
      </w:r>
      <w:bookmarkEnd w:id="57"/>
    </w:p>
    <w:p w14:paraId="41A1E429">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新圩江镇行政区面积</w:t>
      </w:r>
      <w:r>
        <w:rPr>
          <w:rFonts w:ascii="仿宋" w:hAnsi="仿宋" w:eastAsia="仿宋" w:cs="Times New Roman"/>
          <w:sz w:val="32"/>
          <w:szCs w:val="32"/>
        </w:rPr>
        <w:t>132.5</w:t>
      </w:r>
      <w:r>
        <w:rPr>
          <w:rFonts w:hint="eastAsia" w:ascii="仿宋" w:hAnsi="仿宋" w:eastAsia="仿宋" w:cs="Times New Roman"/>
          <w:sz w:val="32"/>
          <w:szCs w:val="32"/>
        </w:rPr>
        <w:t>4平方公里，包含16个行政村（居委会），辖区耕地总面积1.81万亩，禁烧区耕地面积1.2万亩，限烧区耕地面积0.61万亩，禁烧耕地面积比例为66.07%。禁烧区涉及13个行政村（居委会），其中辖区全部耕地划为禁烧区的行政村（居委会）5个，分别为芦江村、双江村、新江居委会、什田村、军山村，全部耕地划为限烧区的行政村3个，为大浪村、金浪村、田心村，其他行政村禁烧耕地面积比例在3.29%-100%。</w:t>
      </w:r>
    </w:p>
    <w:p w14:paraId="246E1542">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75D6FB00">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(1)洛湛铁路，共计1条铁路沿线两侧2公里范围内的耕地；</w:t>
      </w:r>
    </w:p>
    <w:p w14:paraId="16D5CE8C">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(2)S242省道，共计1条国(省)公路干线沿线两侧1公里范围内的耕地；</w:t>
      </w:r>
    </w:p>
    <w:p w14:paraId="7CB58D33">
      <w:pPr>
        <w:spacing w:line="360" w:lineRule="auto"/>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(十六)</w:t>
      </w:r>
      <w:bookmarkStart w:id="58" w:name="_Hlk200632943"/>
      <w:r>
        <w:rPr>
          <w:rFonts w:hint="eastAsia" w:ascii="仿宋" w:hAnsi="仿宋" w:eastAsia="仿宋" w:cs="Times New Roman"/>
          <w:b/>
          <w:bCs/>
          <w:sz w:val="32"/>
          <w:szCs w:val="32"/>
        </w:rPr>
        <w:t>紫溪市镇</w:t>
      </w:r>
      <w:bookmarkEnd w:id="58"/>
    </w:p>
    <w:p w14:paraId="5215DD93">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紫溪市镇行政区面积170.78平方公里，包含27个行政村</w:t>
      </w:r>
      <w:bookmarkStart w:id="59" w:name="OLE_LINK49"/>
      <w:bookmarkStart w:id="60" w:name="OLE_LINK48"/>
      <w:r>
        <w:rPr>
          <w:rFonts w:hint="eastAsia" w:ascii="仿宋" w:hAnsi="仿宋" w:eastAsia="仿宋" w:cs="Times New Roman"/>
          <w:sz w:val="32"/>
          <w:szCs w:val="32"/>
        </w:rPr>
        <w:t>（居委会）</w:t>
      </w:r>
      <w:bookmarkEnd w:id="59"/>
      <w:bookmarkEnd w:id="60"/>
      <w:r>
        <w:rPr>
          <w:rFonts w:hint="eastAsia" w:ascii="仿宋" w:hAnsi="仿宋" w:eastAsia="仿宋" w:cs="Times New Roman"/>
          <w:sz w:val="32"/>
          <w:szCs w:val="32"/>
        </w:rPr>
        <w:t>，辖区耕地总面积4.87万亩，禁烧区耕地面积2.63万亩，限烧区耕地面积2.24万亩，禁烧耕地面积比例为54.05%。禁烧区涉及23个行政村（居委会），其中辖区全部耕地划为禁烧区的行政村（居委会）9个，分别为紫溪村、乐园村、建设村、五里牌村、六里桥村、东正街居委会、下河街居委会、唐公街居委会、向阳街居委会，全部耕地划为限烧区的行政村4个，为南庄村、高岩村、塘复村、花街村，其他行政村禁烧耕地面积比例在14.36%-100%。</w:t>
      </w:r>
    </w:p>
    <w:p w14:paraId="00962E55">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禁烧区范围主要包括：</w:t>
      </w:r>
    </w:p>
    <w:p w14:paraId="46DE265C">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(1)东安县政府所在城市的城区实体地域及外围5公里范围内的耕地；</w:t>
      </w:r>
    </w:p>
    <w:p w14:paraId="03CA62B5">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(2)湘桂铁路、衡柳铁路，共计2条铁路沿线两侧2公里范围内的耕地；</w:t>
      </w:r>
    </w:p>
    <w:p w14:paraId="42536DEB">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(3)S340省道，共计1条国(省)公路干线沿线两侧1公里范围内的耕地；</w:t>
      </w:r>
    </w:p>
    <w:bookmarkEnd w:id="12"/>
    <w:p w14:paraId="6CFF07E3">
      <w:pPr>
        <w:widowControl/>
        <w:jc w:val="left"/>
        <w:rPr>
          <w:rFonts w:ascii="黑体" w:hAnsi="黑体" w:eastAsia="黑体" w:cs="Times New Roman"/>
          <w:sz w:val="32"/>
          <w:szCs w:val="32"/>
        </w:rPr>
      </w:pPr>
      <w:r>
        <w:rPr>
          <w:rFonts w:hint="eastAsia" w:ascii="黑体" w:hAnsi="黑体" w:eastAsia="黑体" w:cs="Times New Roman"/>
          <w:sz w:val="32"/>
          <w:szCs w:val="32"/>
        </w:rPr>
        <w:t>六、禁烧管控要求</w:t>
      </w:r>
    </w:p>
    <w:p w14:paraId="5D5E7294">
      <w:pPr>
        <w:widowControl/>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各乡镇（场）人民政府根据本方案划定的禁烧区，结合实际将责任压实到各村组，依法依规落实秸秆禁烧管控要求。</w:t>
      </w:r>
    </w:p>
    <w:p w14:paraId="29F1FF7F">
      <w:pPr>
        <w:widowControl/>
        <w:ind w:firstLine="643" w:firstLineChars="200"/>
        <w:jc w:val="left"/>
        <w:rPr>
          <w:rFonts w:ascii="仿宋" w:hAnsi="仿宋" w:eastAsia="仿宋" w:cs="Times New Roman"/>
          <w:b/>
          <w:sz w:val="32"/>
          <w:szCs w:val="32"/>
        </w:rPr>
      </w:pPr>
      <w:r>
        <w:rPr>
          <w:rFonts w:hint="eastAsia" w:ascii="仿宋" w:hAnsi="仿宋" w:eastAsia="仿宋" w:cs="Times New Roman"/>
          <w:b/>
          <w:sz w:val="32"/>
          <w:szCs w:val="32"/>
        </w:rPr>
        <w:t>(一)禁烧区</w:t>
      </w:r>
    </w:p>
    <w:p w14:paraId="6689769B">
      <w:pPr>
        <w:widowControl/>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秸秆禁烧区内实行强制性、常态化禁烧管理政策，任何时间、任何气象条件及空气质量状况下，均不允许露天焚烧秸秆。对经检疫确需通过焚烧处理病虫害的秸秆，在县级人民政府农业农村、生态环境主管部门采取安全可控措施后，可以有序焚烧。</w:t>
      </w:r>
    </w:p>
    <w:p w14:paraId="7A2E983C">
      <w:pPr>
        <w:widowControl/>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2、秸秆禁烧区要设立明显警示标志，标明“秸秆禁烧区”字样。</w:t>
      </w:r>
    </w:p>
    <w:p w14:paraId="423D63D9">
      <w:pPr>
        <w:widowControl/>
        <w:ind w:firstLine="643" w:firstLineChars="200"/>
        <w:jc w:val="left"/>
        <w:rPr>
          <w:rFonts w:ascii="仿宋" w:hAnsi="仿宋" w:eastAsia="仿宋" w:cs="Times New Roman"/>
          <w:b/>
          <w:sz w:val="32"/>
          <w:szCs w:val="32"/>
        </w:rPr>
      </w:pPr>
      <w:r>
        <w:rPr>
          <w:rFonts w:hint="eastAsia" w:ascii="仿宋" w:hAnsi="仿宋" w:eastAsia="仿宋" w:cs="Times New Roman"/>
          <w:b/>
          <w:sz w:val="32"/>
          <w:szCs w:val="32"/>
        </w:rPr>
        <w:t>(二)限烧区</w:t>
      </w:r>
    </w:p>
    <w:p w14:paraId="042E6CE4">
      <w:pPr>
        <w:widowControl/>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限烧区内，乡镇人民政府应当报备生态环境部门、林业、农业、应急管理等相关部门后，组织以村为单位开展分区域、分时段有序错峰焚烧，并加强指导、巡查和管控，防止发生大气污染事故和火灾。出现下列情形之一的，应当禁止秸秆露天焚烧。</w:t>
      </w:r>
    </w:p>
    <w:p w14:paraId="215614CC">
      <w:pPr>
        <w:widowControl/>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1、限烧区及下风向区域相关城市实测已达轻度及以上污染天</w:t>
      </w:r>
    </w:p>
    <w:p w14:paraId="3510EAAE">
      <w:pPr>
        <w:widowControl/>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2、预测限烧区内相关城市未来 48 小时将出现中度及以上污染天气或发布重污染天气预警;</w:t>
      </w:r>
    </w:p>
    <w:p w14:paraId="134916CB">
      <w:pPr>
        <w:widowControl/>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3、限烧区内 18:00 至次日 9:00 的夜间时段;</w:t>
      </w:r>
      <w:r>
        <w:rPr>
          <w:rFonts w:ascii="仿宋" w:hAnsi="仿宋" w:eastAsia="仿宋" w:cs="Times New Roman"/>
          <w:sz w:val="32"/>
          <w:szCs w:val="32"/>
        </w:rPr>
        <w:t xml:space="preserve"> </w:t>
      </w:r>
    </w:p>
    <w:p w14:paraId="02C2617F">
      <w:pPr>
        <w:widowControl/>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4、限烧区内出现小风(小于 2级)、静稳等不利于大气扩散的天气;</w:t>
      </w:r>
    </w:p>
    <w:p w14:paraId="3DAFC89A">
      <w:pPr>
        <w:widowControl/>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5、法律法规以及规范性文件规定的其他禁止露天焚烧秸秆的情形。</w:t>
      </w:r>
    </w:p>
    <w:p w14:paraId="50FC056C">
      <w:pPr>
        <w:widowControl/>
        <w:ind w:firstLine="640" w:firstLineChars="200"/>
        <w:jc w:val="left"/>
        <w:rPr>
          <w:rFonts w:ascii="仿宋" w:hAnsi="仿宋" w:eastAsia="仿宋" w:cs="Times New Roman"/>
          <w:sz w:val="32"/>
          <w:szCs w:val="32"/>
        </w:rPr>
      </w:pPr>
    </w:p>
    <w:p w14:paraId="13126934">
      <w:pPr>
        <w:widowControl/>
        <w:ind w:firstLine="640" w:firstLineChars="200"/>
        <w:jc w:val="left"/>
        <w:rPr>
          <w:rFonts w:ascii="仿宋" w:hAnsi="仿宋" w:eastAsia="仿宋" w:cs="Times New Roman"/>
          <w:sz w:val="32"/>
          <w:szCs w:val="32"/>
        </w:rPr>
      </w:pPr>
    </w:p>
    <w:p w14:paraId="0DDEBAD3">
      <w:pPr>
        <w:widowControl/>
        <w:ind w:firstLine="640" w:firstLineChars="200"/>
        <w:jc w:val="left"/>
        <w:rPr>
          <w:rFonts w:ascii="Times New Roman" w:hAnsi="Times New Roman" w:cs="Times New Roman"/>
          <w:b/>
          <w:bCs/>
          <w:sz w:val="28"/>
          <w:szCs w:val="28"/>
        </w:rPr>
      </w:pPr>
      <w:r>
        <w:rPr>
          <w:rFonts w:hint="eastAsia" w:ascii="仿宋" w:hAnsi="仿宋" w:eastAsia="仿宋" w:cs="Times New Roman"/>
          <w:sz w:val="32"/>
          <w:szCs w:val="32"/>
        </w:rPr>
        <w:t>附:全县秸秆禁烧区和限烧区总图及统计表</w:t>
      </w:r>
      <w:r>
        <w:rPr>
          <w:rFonts w:ascii="仿宋" w:hAnsi="仿宋" w:eastAsia="仿宋" w:cs="Times New Roman"/>
          <w:sz w:val="32"/>
          <w:szCs w:val="32"/>
        </w:rPr>
        <w:br w:type="page"/>
      </w:r>
      <w:r>
        <w:rPr>
          <w:rFonts w:hint="eastAsia" w:ascii="Times New Roman" w:hAnsi="Times New Roman" w:cs="Times New Roman"/>
          <w:b/>
          <w:bCs/>
          <w:sz w:val="28"/>
          <w:szCs w:val="28"/>
        </w:rPr>
        <w:t>附件1</w:t>
      </w:r>
    </w:p>
    <w:p w14:paraId="5638F500">
      <w:pPr>
        <w:widowControl/>
        <w:jc w:val="left"/>
        <w:rPr>
          <w:rFonts w:ascii="Times New Roman" w:hAnsi="Times New Roman" w:cs="Times New Roman"/>
          <w:b/>
          <w:bCs/>
          <w:sz w:val="28"/>
          <w:szCs w:val="28"/>
        </w:rPr>
      </w:pPr>
      <w:r>
        <w:drawing>
          <wp:inline distT="0" distB="0" distL="0" distR="0">
            <wp:extent cx="5274310" cy="7451725"/>
            <wp:effectExtent l="0" t="0" r="2540" b="0"/>
            <wp:docPr id="665707047" name="图片 2"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07047" name="图片 2" descr="地图&#10;&#10;AI 生成的内容可能不正确。"/>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7451725"/>
                    </a:xfrm>
                    <a:prstGeom prst="rect">
                      <a:avLst/>
                    </a:prstGeom>
                    <a:noFill/>
                    <a:ln>
                      <a:noFill/>
                    </a:ln>
                  </pic:spPr>
                </pic:pic>
              </a:graphicData>
            </a:graphic>
          </wp:inline>
        </w:drawing>
      </w:r>
    </w:p>
    <w:p w14:paraId="5D7BEE9C">
      <w:pPr>
        <w:widowControl/>
        <w:jc w:val="left"/>
        <w:rPr>
          <w:rFonts w:ascii="Times New Roman" w:hAnsi="Times New Roman" w:cs="Times New Roman"/>
          <w:sz w:val="28"/>
          <w:szCs w:val="28"/>
        </w:rPr>
        <w:sectPr>
          <w:pgSz w:w="11906" w:h="16838"/>
          <w:pgMar w:top="1440" w:right="1800" w:bottom="1440" w:left="1800" w:header="851" w:footer="992" w:gutter="0"/>
          <w:cols w:space="425" w:num="1"/>
          <w:docGrid w:type="lines" w:linePitch="312" w:charSpace="0"/>
        </w:sectPr>
      </w:pPr>
    </w:p>
    <w:p w14:paraId="00E59DEC">
      <w:pPr>
        <w:widowControl/>
        <w:jc w:val="left"/>
        <w:rPr>
          <w:rFonts w:ascii="Times New Roman" w:hAnsi="Times New Roman" w:cs="Times New Roman"/>
          <w:b/>
          <w:bCs/>
          <w:sz w:val="28"/>
          <w:szCs w:val="28"/>
        </w:rPr>
      </w:pPr>
      <w:r>
        <w:rPr>
          <w:rFonts w:hint="eastAsia" w:ascii="Times New Roman" w:hAnsi="Times New Roman" w:cs="Times New Roman"/>
          <w:b/>
          <w:bCs/>
          <w:sz w:val="28"/>
          <w:szCs w:val="28"/>
        </w:rPr>
        <w:t>附件2</w:t>
      </w:r>
    </w:p>
    <w:p w14:paraId="594988E6">
      <w:pPr>
        <w:widowControl/>
        <w:jc w:val="center"/>
        <w:rPr>
          <w:rFonts w:ascii="Times New Roman" w:hAnsi="Times New Roman" w:cs="Times New Roman"/>
          <w:b/>
          <w:bCs/>
          <w:sz w:val="32"/>
          <w:szCs w:val="32"/>
        </w:rPr>
      </w:pPr>
      <w:r>
        <w:rPr>
          <w:rFonts w:hint="eastAsia" w:ascii="Times New Roman" w:hAnsi="Times New Roman" w:cs="Times New Roman"/>
          <w:b/>
          <w:bCs/>
          <w:sz w:val="32"/>
          <w:szCs w:val="32"/>
        </w:rPr>
        <w:t>东安县秸秆禁烧区、限烧区统计表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01"/>
        <w:gridCol w:w="1559"/>
        <w:gridCol w:w="2222"/>
        <w:gridCol w:w="1606"/>
        <w:gridCol w:w="2693"/>
        <w:gridCol w:w="1134"/>
        <w:gridCol w:w="1276"/>
        <w:gridCol w:w="1166"/>
      </w:tblGrid>
      <w:tr w14:paraId="29DF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F2ACFDF">
            <w:pPr>
              <w:widowControl/>
              <w:jc w:val="center"/>
              <w:rPr>
                <w:rFonts w:ascii="Times New Roman" w:hAnsi="Times New Roman" w:cs="Times New Roman"/>
                <w:sz w:val="24"/>
                <w:szCs w:val="24"/>
              </w:rPr>
            </w:pPr>
            <w:r>
              <w:rPr>
                <w:rFonts w:hint="eastAsia" w:ascii="Times New Roman" w:hAnsi="Times New Roman" w:cs="Times New Roman"/>
                <w:sz w:val="24"/>
                <w:szCs w:val="24"/>
              </w:rPr>
              <w:t>序号</w:t>
            </w:r>
          </w:p>
        </w:tc>
        <w:tc>
          <w:tcPr>
            <w:tcW w:w="1701" w:type="dxa"/>
            <w:vAlign w:val="center"/>
          </w:tcPr>
          <w:p w14:paraId="51280682">
            <w:pPr>
              <w:widowControl/>
              <w:jc w:val="center"/>
              <w:rPr>
                <w:rFonts w:ascii="Times New Roman" w:hAnsi="Times New Roman" w:cs="Times New Roman"/>
                <w:sz w:val="24"/>
                <w:szCs w:val="24"/>
              </w:rPr>
            </w:pPr>
            <w:r>
              <w:rPr>
                <w:rFonts w:hint="eastAsia" w:ascii="Times New Roman" w:hAnsi="Times New Roman" w:cs="Times New Roman"/>
                <w:sz w:val="24"/>
                <w:szCs w:val="24"/>
              </w:rPr>
              <w:t>乡(镇)</w:t>
            </w:r>
          </w:p>
        </w:tc>
        <w:tc>
          <w:tcPr>
            <w:tcW w:w="1559" w:type="dxa"/>
            <w:vAlign w:val="center"/>
          </w:tcPr>
          <w:p w14:paraId="000E4C95">
            <w:pPr>
              <w:widowControl/>
              <w:jc w:val="center"/>
              <w:rPr>
                <w:rFonts w:ascii="Times New Roman" w:hAnsi="Times New Roman" w:cs="Times New Roman"/>
                <w:sz w:val="24"/>
                <w:szCs w:val="24"/>
              </w:rPr>
            </w:pPr>
            <w:r>
              <w:rPr>
                <w:rFonts w:hint="eastAsia" w:ascii="Times New Roman" w:hAnsi="Times New Roman" w:cs="Times New Roman"/>
                <w:sz w:val="24"/>
                <w:szCs w:val="24"/>
              </w:rPr>
              <w:t>行政区面积(平方公里)</w:t>
            </w:r>
          </w:p>
        </w:tc>
        <w:tc>
          <w:tcPr>
            <w:tcW w:w="2222" w:type="dxa"/>
            <w:vAlign w:val="center"/>
          </w:tcPr>
          <w:p w14:paraId="5ADF519B">
            <w:pPr>
              <w:widowControl/>
              <w:jc w:val="center"/>
              <w:rPr>
                <w:rFonts w:ascii="Times New Roman" w:hAnsi="Times New Roman" w:cs="Times New Roman"/>
                <w:sz w:val="24"/>
                <w:szCs w:val="24"/>
              </w:rPr>
            </w:pPr>
            <w:bookmarkStart w:id="61" w:name="OLE_LINK20"/>
            <w:r>
              <w:rPr>
                <w:rFonts w:hint="eastAsia" w:ascii="Times New Roman" w:hAnsi="Times New Roman" w:cs="Times New Roman"/>
                <w:sz w:val="24"/>
                <w:szCs w:val="24"/>
              </w:rPr>
              <w:t>全域禁烧村(社区)</w:t>
            </w:r>
            <w:bookmarkEnd w:id="61"/>
          </w:p>
        </w:tc>
        <w:tc>
          <w:tcPr>
            <w:tcW w:w="1606" w:type="dxa"/>
            <w:vAlign w:val="center"/>
          </w:tcPr>
          <w:p w14:paraId="35F3DB21">
            <w:pPr>
              <w:widowControl/>
              <w:jc w:val="center"/>
              <w:rPr>
                <w:rFonts w:ascii="Times New Roman" w:hAnsi="Times New Roman" w:cs="Times New Roman"/>
                <w:sz w:val="24"/>
                <w:szCs w:val="24"/>
              </w:rPr>
            </w:pPr>
            <w:r>
              <w:rPr>
                <w:rFonts w:hint="eastAsia" w:ascii="Times New Roman" w:hAnsi="Times New Roman" w:cs="Times New Roman"/>
                <w:sz w:val="24"/>
                <w:szCs w:val="24"/>
              </w:rPr>
              <w:t>部分禁烧村(社区)</w:t>
            </w:r>
          </w:p>
        </w:tc>
        <w:tc>
          <w:tcPr>
            <w:tcW w:w="2693" w:type="dxa"/>
            <w:vAlign w:val="center"/>
          </w:tcPr>
          <w:p w14:paraId="0851150D">
            <w:pPr>
              <w:widowControl/>
              <w:jc w:val="center"/>
              <w:rPr>
                <w:rFonts w:ascii="Times New Roman" w:hAnsi="Times New Roman" w:cs="Times New Roman"/>
                <w:sz w:val="24"/>
                <w:szCs w:val="24"/>
              </w:rPr>
            </w:pPr>
            <w:r>
              <w:rPr>
                <w:rFonts w:hint="eastAsia" w:ascii="Times New Roman" w:hAnsi="Times New Roman" w:cs="Times New Roman"/>
                <w:sz w:val="24"/>
                <w:szCs w:val="24"/>
              </w:rPr>
              <w:t>全域限烧村(社区)</w:t>
            </w:r>
          </w:p>
        </w:tc>
        <w:tc>
          <w:tcPr>
            <w:tcW w:w="1134" w:type="dxa"/>
            <w:vAlign w:val="center"/>
          </w:tcPr>
          <w:p w14:paraId="2674909C">
            <w:pPr>
              <w:widowControl/>
              <w:jc w:val="center"/>
              <w:rPr>
                <w:rFonts w:ascii="Times New Roman" w:hAnsi="Times New Roman" w:cs="Times New Roman"/>
                <w:sz w:val="24"/>
                <w:szCs w:val="24"/>
              </w:rPr>
            </w:pPr>
            <w:r>
              <w:rPr>
                <w:rFonts w:hint="eastAsia" w:ascii="Times New Roman" w:hAnsi="Times New Roman" w:cs="Times New Roman"/>
                <w:sz w:val="24"/>
                <w:szCs w:val="24"/>
              </w:rPr>
              <w:t>禁烧区耕地面积(万亩)</w:t>
            </w:r>
          </w:p>
        </w:tc>
        <w:tc>
          <w:tcPr>
            <w:tcW w:w="1276" w:type="dxa"/>
            <w:vAlign w:val="center"/>
          </w:tcPr>
          <w:p w14:paraId="3774D072">
            <w:pPr>
              <w:widowControl/>
              <w:jc w:val="center"/>
              <w:rPr>
                <w:rFonts w:ascii="Times New Roman" w:hAnsi="Times New Roman" w:cs="Times New Roman"/>
                <w:sz w:val="24"/>
                <w:szCs w:val="24"/>
              </w:rPr>
            </w:pPr>
            <w:r>
              <w:rPr>
                <w:rFonts w:hint="eastAsia" w:ascii="Times New Roman" w:hAnsi="Times New Roman" w:cs="Times New Roman"/>
                <w:sz w:val="24"/>
                <w:szCs w:val="24"/>
              </w:rPr>
              <w:t>限烧区耕地面积(万亩)</w:t>
            </w:r>
          </w:p>
        </w:tc>
        <w:tc>
          <w:tcPr>
            <w:tcW w:w="1166" w:type="dxa"/>
            <w:vAlign w:val="center"/>
          </w:tcPr>
          <w:p w14:paraId="70416F24">
            <w:pPr>
              <w:widowControl/>
              <w:jc w:val="center"/>
              <w:rPr>
                <w:rFonts w:ascii="Times New Roman" w:hAnsi="Times New Roman" w:cs="Times New Roman"/>
                <w:sz w:val="24"/>
                <w:szCs w:val="24"/>
              </w:rPr>
            </w:pPr>
            <w:r>
              <w:rPr>
                <w:rFonts w:hint="eastAsia" w:ascii="Times New Roman" w:hAnsi="Times New Roman" w:cs="Times New Roman"/>
                <w:sz w:val="24"/>
                <w:szCs w:val="24"/>
              </w:rPr>
              <w:t>禁烧耕地面积比例(%)</w:t>
            </w:r>
          </w:p>
        </w:tc>
      </w:tr>
      <w:tr w14:paraId="06101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DA5BA12">
            <w:pPr>
              <w:widowControl/>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1701" w:type="dxa"/>
            <w:vAlign w:val="center"/>
          </w:tcPr>
          <w:p w14:paraId="54E265B3">
            <w:pPr>
              <w:widowControl/>
              <w:jc w:val="center"/>
              <w:rPr>
                <w:rFonts w:ascii="Times New Roman" w:hAnsi="Times New Roman" w:cs="Times New Roman"/>
                <w:sz w:val="24"/>
                <w:szCs w:val="24"/>
              </w:rPr>
            </w:pPr>
            <w:r>
              <w:rPr>
                <w:rFonts w:hint="eastAsia" w:ascii="Times New Roman" w:hAnsi="Times New Roman" w:cs="Times New Roman"/>
                <w:sz w:val="24"/>
                <w:szCs w:val="24"/>
              </w:rPr>
              <w:t>白牙市镇</w:t>
            </w:r>
          </w:p>
        </w:tc>
        <w:tc>
          <w:tcPr>
            <w:tcW w:w="1559" w:type="dxa"/>
            <w:vAlign w:val="center"/>
          </w:tcPr>
          <w:p w14:paraId="48316F60">
            <w:pPr>
              <w:widowControl/>
              <w:jc w:val="center"/>
              <w:rPr>
                <w:rFonts w:ascii="Times New Roman" w:hAnsi="Times New Roman" w:cs="Times New Roman"/>
                <w:sz w:val="24"/>
                <w:szCs w:val="24"/>
              </w:rPr>
            </w:pPr>
            <w:r>
              <w:rPr>
                <w:rFonts w:ascii="Times New Roman" w:hAnsi="Times New Roman" w:cs="Times New Roman"/>
                <w:sz w:val="24"/>
                <w:szCs w:val="24"/>
              </w:rPr>
              <w:t>249.9</w:t>
            </w:r>
          </w:p>
        </w:tc>
        <w:tc>
          <w:tcPr>
            <w:tcW w:w="2222" w:type="dxa"/>
            <w:vAlign w:val="center"/>
          </w:tcPr>
          <w:p w14:paraId="24FE43DA">
            <w:pPr>
              <w:widowControl/>
              <w:jc w:val="center"/>
              <w:rPr>
                <w:rFonts w:ascii="Times New Roman" w:hAnsi="Times New Roman" w:cs="Times New Roman"/>
                <w:sz w:val="24"/>
                <w:szCs w:val="24"/>
              </w:rPr>
            </w:pPr>
            <w:r>
              <w:rPr>
                <w:rFonts w:hint="eastAsia" w:ascii="Times New Roman" w:hAnsi="Times New Roman" w:cs="Times New Roman"/>
                <w:sz w:val="24"/>
                <w:szCs w:val="24"/>
              </w:rPr>
              <w:t>白牙市村、蔡家村、茶源村、大江源村、东城村、都塘村、独秀峰村、工业新村、红星村、湖塘村、鸡井塘村、李家铺村、莲塘村、林角村、柳溪村、齐心村、秦塘村、神仙桥村、石登村、台凡村、铁炉村、文竹山村、小新田村、幸福村、宜新村、永富村、宥江桥村、紫江村、前进社区、龙溪社区、茶亭社区、紫水社区、山子岭社区、梨山口社区、苍子岭社区、下白鸭社区、青土坪社区、海竹山社区</w:t>
            </w:r>
          </w:p>
        </w:tc>
        <w:tc>
          <w:tcPr>
            <w:tcW w:w="1606" w:type="dxa"/>
            <w:vAlign w:val="center"/>
          </w:tcPr>
          <w:p w14:paraId="5C9A20CF">
            <w:pPr>
              <w:widowControl/>
              <w:jc w:val="center"/>
              <w:rPr>
                <w:rFonts w:ascii="Times New Roman" w:hAnsi="Times New Roman" w:cs="Times New Roman"/>
                <w:sz w:val="24"/>
                <w:szCs w:val="24"/>
              </w:rPr>
            </w:pPr>
            <w:bookmarkStart w:id="62" w:name="OLE_LINK136"/>
            <w:bookmarkStart w:id="63" w:name="OLE_LINK135"/>
            <w:r>
              <w:rPr>
                <w:rFonts w:hint="eastAsia" w:ascii="Times New Roman" w:hAnsi="Times New Roman" w:cs="Times New Roman"/>
                <w:sz w:val="24"/>
                <w:szCs w:val="24"/>
              </w:rPr>
              <w:t>大江口村、大龙岩村、大塘旺村、荷池村、六仕町村、龙溪源村、山水村、社塘村、石溪河村、桐子山村、铜鼓岭村、祥合村、银山村</w:t>
            </w:r>
            <w:bookmarkEnd w:id="62"/>
            <w:bookmarkEnd w:id="63"/>
          </w:p>
        </w:tc>
        <w:tc>
          <w:tcPr>
            <w:tcW w:w="2693" w:type="dxa"/>
            <w:vAlign w:val="center"/>
          </w:tcPr>
          <w:p w14:paraId="2AE3B08C">
            <w:pPr>
              <w:widowControl/>
              <w:jc w:val="center"/>
              <w:rPr>
                <w:rFonts w:ascii="Times New Roman" w:hAnsi="Times New Roman" w:cs="Times New Roman"/>
                <w:sz w:val="24"/>
                <w:szCs w:val="24"/>
              </w:rPr>
            </w:pPr>
            <w:r>
              <w:rPr>
                <w:rFonts w:hint="eastAsia" w:ascii="Times New Roman" w:hAnsi="Times New Roman" w:cs="Times New Roman"/>
                <w:sz w:val="24"/>
                <w:szCs w:val="24"/>
              </w:rPr>
              <w:t>石门砥村</w:t>
            </w:r>
          </w:p>
        </w:tc>
        <w:tc>
          <w:tcPr>
            <w:tcW w:w="1134" w:type="dxa"/>
            <w:vAlign w:val="center"/>
          </w:tcPr>
          <w:p w14:paraId="0BE9AA1E">
            <w:pPr>
              <w:widowControl/>
              <w:jc w:val="center"/>
              <w:rPr>
                <w:rFonts w:ascii="Times New Roman" w:hAnsi="Times New Roman" w:cs="Times New Roman"/>
                <w:sz w:val="24"/>
                <w:szCs w:val="24"/>
              </w:rPr>
            </w:pPr>
            <w:r>
              <w:rPr>
                <w:rFonts w:ascii="Times New Roman" w:hAnsi="Times New Roman" w:cs="Times New Roman"/>
                <w:sz w:val="24"/>
                <w:szCs w:val="24"/>
              </w:rPr>
              <w:t>7.</w:t>
            </w:r>
            <w:r>
              <w:rPr>
                <w:rFonts w:hint="eastAsia" w:ascii="Times New Roman" w:hAnsi="Times New Roman" w:cs="Times New Roman"/>
                <w:sz w:val="24"/>
                <w:szCs w:val="24"/>
              </w:rPr>
              <w:t>3</w:t>
            </w:r>
          </w:p>
        </w:tc>
        <w:tc>
          <w:tcPr>
            <w:tcW w:w="1276" w:type="dxa"/>
            <w:vAlign w:val="center"/>
          </w:tcPr>
          <w:p w14:paraId="45BD8B68">
            <w:pPr>
              <w:widowControl/>
              <w:jc w:val="center"/>
              <w:rPr>
                <w:rFonts w:ascii="Times New Roman" w:hAnsi="Times New Roman" w:cs="Times New Roman"/>
                <w:sz w:val="24"/>
                <w:szCs w:val="24"/>
              </w:rPr>
            </w:pPr>
            <w:r>
              <w:rPr>
                <w:rFonts w:hint="eastAsia" w:ascii="Times New Roman" w:hAnsi="Times New Roman" w:cs="Times New Roman"/>
                <w:sz w:val="24"/>
                <w:szCs w:val="24"/>
              </w:rPr>
              <w:t>1.36</w:t>
            </w:r>
          </w:p>
        </w:tc>
        <w:tc>
          <w:tcPr>
            <w:tcW w:w="1166" w:type="dxa"/>
            <w:vAlign w:val="center"/>
          </w:tcPr>
          <w:p w14:paraId="38137124">
            <w:pPr>
              <w:widowControl/>
              <w:jc w:val="center"/>
              <w:rPr>
                <w:rFonts w:ascii="Times New Roman" w:hAnsi="Times New Roman" w:cs="Times New Roman"/>
                <w:sz w:val="24"/>
                <w:szCs w:val="24"/>
              </w:rPr>
            </w:pPr>
            <w:r>
              <w:rPr>
                <w:rFonts w:hint="eastAsia" w:ascii="Times New Roman" w:hAnsi="Times New Roman" w:cs="Times New Roman"/>
                <w:sz w:val="24"/>
                <w:szCs w:val="24"/>
              </w:rPr>
              <w:t>84.33</w:t>
            </w:r>
          </w:p>
        </w:tc>
      </w:tr>
      <w:tr w14:paraId="30CF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0F3ECB1">
            <w:pPr>
              <w:widowControl/>
              <w:jc w:val="center"/>
              <w:rPr>
                <w:rFonts w:ascii="Times New Roman" w:hAnsi="Times New Roman" w:cs="Times New Roman"/>
                <w:sz w:val="24"/>
                <w:szCs w:val="24"/>
              </w:rPr>
            </w:pPr>
            <w:r>
              <w:rPr>
                <w:rFonts w:hint="eastAsia" w:ascii="Times New Roman" w:hAnsi="Times New Roman" w:cs="Times New Roman"/>
                <w:sz w:val="24"/>
                <w:szCs w:val="24"/>
              </w:rPr>
              <w:t>2</w:t>
            </w:r>
          </w:p>
        </w:tc>
        <w:tc>
          <w:tcPr>
            <w:tcW w:w="1701" w:type="dxa"/>
            <w:vAlign w:val="center"/>
          </w:tcPr>
          <w:p w14:paraId="3D0C80C5">
            <w:pPr>
              <w:widowControl/>
              <w:jc w:val="center"/>
              <w:rPr>
                <w:rFonts w:ascii="Times New Roman" w:hAnsi="Times New Roman" w:cs="Times New Roman"/>
                <w:sz w:val="24"/>
                <w:szCs w:val="24"/>
              </w:rPr>
            </w:pPr>
            <w:r>
              <w:rPr>
                <w:rFonts w:hint="eastAsia" w:ascii="Times New Roman" w:hAnsi="Times New Roman" w:cs="Times New Roman"/>
                <w:sz w:val="24"/>
                <w:szCs w:val="24"/>
              </w:rPr>
              <w:t>川岩乡</w:t>
            </w:r>
          </w:p>
        </w:tc>
        <w:tc>
          <w:tcPr>
            <w:tcW w:w="1559" w:type="dxa"/>
            <w:vAlign w:val="center"/>
          </w:tcPr>
          <w:p w14:paraId="4001B122">
            <w:pPr>
              <w:widowControl/>
              <w:jc w:val="center"/>
              <w:rPr>
                <w:rFonts w:ascii="Times New Roman" w:hAnsi="Times New Roman" w:cs="Times New Roman"/>
                <w:sz w:val="24"/>
                <w:szCs w:val="24"/>
              </w:rPr>
            </w:pPr>
            <w:r>
              <w:rPr>
                <w:rFonts w:ascii="Times New Roman" w:hAnsi="Times New Roman" w:cs="Times New Roman"/>
                <w:sz w:val="24"/>
                <w:szCs w:val="24"/>
              </w:rPr>
              <w:t>100.41</w:t>
            </w:r>
          </w:p>
        </w:tc>
        <w:tc>
          <w:tcPr>
            <w:tcW w:w="2222" w:type="dxa"/>
            <w:vAlign w:val="center"/>
          </w:tcPr>
          <w:p w14:paraId="66364602">
            <w:pPr>
              <w:widowControl/>
              <w:jc w:val="center"/>
              <w:rPr>
                <w:rFonts w:ascii="Times New Roman" w:hAnsi="Times New Roman" w:cs="Times New Roman"/>
                <w:sz w:val="24"/>
                <w:szCs w:val="24"/>
              </w:rPr>
            </w:pPr>
            <w:r>
              <w:rPr>
                <w:rFonts w:hint="eastAsia" w:ascii="Times New Roman" w:hAnsi="Times New Roman" w:cs="Times New Roman"/>
                <w:sz w:val="24"/>
                <w:szCs w:val="24"/>
              </w:rPr>
              <w:t>岭芝村、湾塘村</w:t>
            </w:r>
          </w:p>
        </w:tc>
        <w:tc>
          <w:tcPr>
            <w:tcW w:w="1606" w:type="dxa"/>
            <w:vAlign w:val="center"/>
          </w:tcPr>
          <w:p w14:paraId="198B3D06">
            <w:pPr>
              <w:widowControl/>
              <w:jc w:val="center"/>
              <w:rPr>
                <w:sz w:val="22"/>
              </w:rPr>
            </w:pPr>
            <w:r>
              <w:rPr>
                <w:sz w:val="22"/>
              </w:rPr>
              <w:t>川岩村、禾市村、松江村、长冲村</w:t>
            </w:r>
          </w:p>
        </w:tc>
        <w:tc>
          <w:tcPr>
            <w:tcW w:w="2693" w:type="dxa"/>
            <w:vAlign w:val="center"/>
          </w:tcPr>
          <w:p w14:paraId="1A08379E">
            <w:pPr>
              <w:widowControl/>
              <w:jc w:val="center"/>
              <w:rPr>
                <w:rFonts w:ascii="Times New Roman" w:hAnsi="Times New Roman" w:cs="Times New Roman"/>
                <w:sz w:val="24"/>
                <w:szCs w:val="24"/>
              </w:rPr>
            </w:pPr>
            <w:r>
              <w:rPr>
                <w:rFonts w:hint="eastAsia" w:ascii="Times New Roman" w:hAnsi="Times New Roman" w:cs="Times New Roman"/>
                <w:sz w:val="24"/>
                <w:szCs w:val="24"/>
              </w:rPr>
              <w:t>白牙水村、榴星村、上界头村、下界头村</w:t>
            </w:r>
          </w:p>
        </w:tc>
        <w:tc>
          <w:tcPr>
            <w:tcW w:w="1134" w:type="dxa"/>
            <w:vAlign w:val="center"/>
          </w:tcPr>
          <w:p w14:paraId="5A4EB4EC">
            <w:pPr>
              <w:widowControl/>
              <w:jc w:val="center"/>
              <w:rPr>
                <w:rFonts w:ascii="Times New Roman" w:hAnsi="Times New Roman" w:cs="Times New Roman"/>
                <w:sz w:val="24"/>
                <w:szCs w:val="24"/>
              </w:rPr>
            </w:pPr>
            <w:r>
              <w:rPr>
                <w:rFonts w:hint="eastAsia" w:ascii="Times New Roman" w:hAnsi="Times New Roman" w:cs="Times New Roman"/>
                <w:sz w:val="24"/>
                <w:szCs w:val="24"/>
              </w:rPr>
              <w:t>0.79</w:t>
            </w:r>
          </w:p>
        </w:tc>
        <w:tc>
          <w:tcPr>
            <w:tcW w:w="1276" w:type="dxa"/>
            <w:vAlign w:val="center"/>
          </w:tcPr>
          <w:p w14:paraId="331C6628">
            <w:pPr>
              <w:widowControl/>
              <w:jc w:val="center"/>
              <w:rPr>
                <w:rFonts w:ascii="Times New Roman" w:hAnsi="Times New Roman" w:cs="Times New Roman"/>
                <w:sz w:val="24"/>
                <w:szCs w:val="24"/>
              </w:rPr>
            </w:pPr>
            <w:r>
              <w:rPr>
                <w:rFonts w:hint="eastAsia" w:ascii="Times New Roman" w:hAnsi="Times New Roman" w:cs="Times New Roman"/>
                <w:sz w:val="24"/>
                <w:szCs w:val="24"/>
              </w:rPr>
              <w:t>0.67</w:t>
            </w:r>
          </w:p>
        </w:tc>
        <w:tc>
          <w:tcPr>
            <w:tcW w:w="1166" w:type="dxa"/>
            <w:vAlign w:val="center"/>
          </w:tcPr>
          <w:p w14:paraId="21ECB22D">
            <w:pPr>
              <w:widowControl/>
              <w:jc w:val="center"/>
              <w:rPr>
                <w:rFonts w:ascii="Times New Roman" w:hAnsi="Times New Roman" w:cs="Times New Roman"/>
                <w:sz w:val="24"/>
                <w:szCs w:val="24"/>
              </w:rPr>
            </w:pPr>
            <w:r>
              <w:rPr>
                <w:rFonts w:hint="eastAsia" w:ascii="Times New Roman" w:hAnsi="Times New Roman" w:cs="Times New Roman"/>
                <w:sz w:val="24"/>
                <w:szCs w:val="24"/>
              </w:rPr>
              <w:t>54.13</w:t>
            </w:r>
          </w:p>
        </w:tc>
      </w:tr>
      <w:tr w14:paraId="55D1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0FC9B654">
            <w:pPr>
              <w:widowControl/>
              <w:jc w:val="center"/>
              <w:rPr>
                <w:rFonts w:ascii="Times New Roman" w:hAnsi="Times New Roman" w:cs="Times New Roman"/>
                <w:sz w:val="24"/>
                <w:szCs w:val="24"/>
              </w:rPr>
            </w:pPr>
            <w:r>
              <w:rPr>
                <w:rFonts w:hint="eastAsia" w:ascii="Times New Roman" w:hAnsi="Times New Roman" w:cs="Times New Roman"/>
                <w:sz w:val="24"/>
                <w:szCs w:val="24"/>
              </w:rPr>
              <w:t>3</w:t>
            </w:r>
          </w:p>
        </w:tc>
        <w:tc>
          <w:tcPr>
            <w:tcW w:w="1701" w:type="dxa"/>
            <w:vAlign w:val="center"/>
          </w:tcPr>
          <w:p w14:paraId="12351AE7">
            <w:pPr>
              <w:widowControl/>
              <w:jc w:val="center"/>
              <w:rPr>
                <w:rFonts w:ascii="Times New Roman" w:hAnsi="Times New Roman" w:cs="Times New Roman"/>
                <w:sz w:val="24"/>
                <w:szCs w:val="24"/>
              </w:rPr>
            </w:pPr>
            <w:r>
              <w:rPr>
                <w:rFonts w:hint="eastAsia" w:ascii="Times New Roman" w:hAnsi="Times New Roman" w:cs="Times New Roman"/>
                <w:sz w:val="24"/>
                <w:szCs w:val="24"/>
              </w:rPr>
              <w:t>大庙口镇</w:t>
            </w:r>
          </w:p>
        </w:tc>
        <w:tc>
          <w:tcPr>
            <w:tcW w:w="1559" w:type="dxa"/>
            <w:vAlign w:val="center"/>
          </w:tcPr>
          <w:p w14:paraId="680FFE8F">
            <w:pPr>
              <w:widowControl/>
              <w:jc w:val="center"/>
              <w:rPr>
                <w:rFonts w:ascii="Times New Roman" w:hAnsi="Times New Roman" w:cs="Times New Roman"/>
                <w:sz w:val="24"/>
                <w:szCs w:val="24"/>
              </w:rPr>
            </w:pPr>
            <w:r>
              <w:rPr>
                <w:rFonts w:ascii="Times New Roman" w:hAnsi="Times New Roman" w:cs="Times New Roman"/>
                <w:sz w:val="24"/>
                <w:szCs w:val="24"/>
              </w:rPr>
              <w:t>351.38</w:t>
            </w:r>
          </w:p>
        </w:tc>
        <w:tc>
          <w:tcPr>
            <w:tcW w:w="2222" w:type="dxa"/>
            <w:vAlign w:val="center"/>
          </w:tcPr>
          <w:p w14:paraId="1C704DC1">
            <w:pPr>
              <w:widowControl/>
              <w:jc w:val="center"/>
              <w:rPr>
                <w:rFonts w:ascii="Times New Roman" w:hAnsi="Times New Roman" w:cs="Times New Roman"/>
                <w:sz w:val="24"/>
                <w:szCs w:val="24"/>
              </w:rPr>
            </w:pPr>
            <w:r>
              <w:rPr>
                <w:rFonts w:hint="eastAsia" w:ascii="Times New Roman" w:hAnsi="Times New Roman" w:cs="Times New Roman"/>
                <w:sz w:val="24"/>
                <w:szCs w:val="24"/>
              </w:rPr>
              <w:t>屯里村、江南居委会、北居委会</w:t>
            </w:r>
          </w:p>
        </w:tc>
        <w:tc>
          <w:tcPr>
            <w:tcW w:w="1606" w:type="dxa"/>
            <w:vAlign w:val="center"/>
          </w:tcPr>
          <w:p w14:paraId="61FB42A8">
            <w:pPr>
              <w:widowControl/>
              <w:jc w:val="center"/>
              <w:rPr>
                <w:rFonts w:ascii="Times New Roman" w:hAnsi="Times New Roman" w:cs="Times New Roman"/>
                <w:sz w:val="24"/>
                <w:szCs w:val="24"/>
              </w:rPr>
            </w:pPr>
            <w:r>
              <w:rPr>
                <w:rFonts w:hint="eastAsia" w:ascii="Times New Roman" w:hAnsi="Times New Roman" w:cs="Times New Roman"/>
                <w:sz w:val="24"/>
                <w:szCs w:val="24"/>
              </w:rPr>
              <w:t>白沙村、大庙口村、将军桥村、石瑞村、湾里村、新溪村、杨田村</w:t>
            </w:r>
          </w:p>
        </w:tc>
        <w:tc>
          <w:tcPr>
            <w:tcW w:w="2693" w:type="dxa"/>
            <w:vAlign w:val="center"/>
          </w:tcPr>
          <w:p w14:paraId="3413557C">
            <w:pPr>
              <w:widowControl/>
              <w:jc w:val="center"/>
              <w:rPr>
                <w:rFonts w:ascii="Times New Roman" w:hAnsi="Times New Roman" w:cs="Times New Roman"/>
                <w:sz w:val="24"/>
                <w:szCs w:val="24"/>
              </w:rPr>
            </w:pPr>
            <w:r>
              <w:rPr>
                <w:rFonts w:hint="eastAsia" w:ascii="Times New Roman" w:hAnsi="Times New Roman" w:cs="Times New Roman"/>
                <w:sz w:val="24"/>
                <w:szCs w:val="24"/>
              </w:rPr>
              <w:t>白马村、峰源村、高枧村、官田村、韭菜村、乐福村、柳木井村、三星村、双溪村、塘旁边村、鸭塘村、御江源村、袁家村、周杨村、紫云村</w:t>
            </w:r>
          </w:p>
        </w:tc>
        <w:tc>
          <w:tcPr>
            <w:tcW w:w="1134" w:type="dxa"/>
            <w:vAlign w:val="center"/>
          </w:tcPr>
          <w:p w14:paraId="4152F3B1">
            <w:pPr>
              <w:widowControl/>
              <w:jc w:val="center"/>
              <w:rPr>
                <w:rFonts w:ascii="Times New Roman" w:hAnsi="Times New Roman" w:cs="Times New Roman"/>
                <w:sz w:val="24"/>
                <w:szCs w:val="24"/>
              </w:rPr>
            </w:pPr>
            <w:r>
              <w:rPr>
                <w:rFonts w:hint="eastAsia" w:ascii="Times New Roman" w:hAnsi="Times New Roman" w:cs="Times New Roman"/>
                <w:sz w:val="24"/>
                <w:szCs w:val="24"/>
              </w:rPr>
              <w:t>0.77</w:t>
            </w:r>
          </w:p>
        </w:tc>
        <w:tc>
          <w:tcPr>
            <w:tcW w:w="1276" w:type="dxa"/>
            <w:vAlign w:val="center"/>
          </w:tcPr>
          <w:p w14:paraId="28E1FFD6">
            <w:pPr>
              <w:widowControl/>
              <w:jc w:val="center"/>
              <w:rPr>
                <w:rFonts w:ascii="Times New Roman" w:hAnsi="Times New Roman" w:cs="Times New Roman"/>
                <w:sz w:val="24"/>
                <w:szCs w:val="24"/>
              </w:rPr>
            </w:pPr>
            <w:r>
              <w:rPr>
                <w:rFonts w:hint="eastAsia" w:ascii="Times New Roman" w:hAnsi="Times New Roman" w:cs="Times New Roman"/>
                <w:sz w:val="24"/>
                <w:szCs w:val="24"/>
              </w:rPr>
              <w:t>3.98</w:t>
            </w:r>
          </w:p>
        </w:tc>
        <w:tc>
          <w:tcPr>
            <w:tcW w:w="1166" w:type="dxa"/>
            <w:vAlign w:val="center"/>
          </w:tcPr>
          <w:p w14:paraId="73268D39">
            <w:pPr>
              <w:widowControl/>
              <w:jc w:val="center"/>
              <w:rPr>
                <w:rFonts w:ascii="Times New Roman" w:hAnsi="Times New Roman" w:cs="Times New Roman"/>
                <w:sz w:val="24"/>
                <w:szCs w:val="24"/>
              </w:rPr>
            </w:pPr>
            <w:r>
              <w:rPr>
                <w:rFonts w:hint="eastAsia" w:ascii="Times New Roman" w:hAnsi="Times New Roman" w:cs="Times New Roman"/>
                <w:sz w:val="24"/>
                <w:szCs w:val="24"/>
              </w:rPr>
              <w:t>16.15</w:t>
            </w:r>
          </w:p>
        </w:tc>
      </w:tr>
      <w:tr w14:paraId="3956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29A6C2C0">
            <w:pPr>
              <w:widowControl/>
              <w:jc w:val="center"/>
              <w:rPr>
                <w:rFonts w:ascii="Times New Roman" w:hAnsi="Times New Roman" w:cs="Times New Roman"/>
                <w:sz w:val="24"/>
                <w:szCs w:val="24"/>
              </w:rPr>
            </w:pPr>
            <w:r>
              <w:rPr>
                <w:rFonts w:hint="eastAsia" w:ascii="Times New Roman" w:hAnsi="Times New Roman" w:cs="Times New Roman"/>
                <w:sz w:val="24"/>
                <w:szCs w:val="24"/>
              </w:rPr>
              <w:t>14</w:t>
            </w:r>
          </w:p>
        </w:tc>
        <w:tc>
          <w:tcPr>
            <w:tcW w:w="1701" w:type="dxa"/>
            <w:vAlign w:val="center"/>
          </w:tcPr>
          <w:p w14:paraId="70362F23">
            <w:pPr>
              <w:widowControl/>
              <w:jc w:val="center"/>
              <w:rPr>
                <w:rFonts w:ascii="Times New Roman" w:hAnsi="Times New Roman" w:cs="Times New Roman"/>
                <w:sz w:val="24"/>
                <w:szCs w:val="24"/>
              </w:rPr>
            </w:pPr>
            <w:r>
              <w:rPr>
                <w:rFonts w:hint="eastAsia" w:ascii="Times New Roman" w:hAnsi="Times New Roman" w:cs="Times New Roman"/>
                <w:sz w:val="24"/>
                <w:szCs w:val="24"/>
              </w:rPr>
              <w:t>大盛镇</w:t>
            </w:r>
          </w:p>
        </w:tc>
        <w:tc>
          <w:tcPr>
            <w:tcW w:w="1559" w:type="dxa"/>
            <w:vAlign w:val="center"/>
          </w:tcPr>
          <w:p w14:paraId="25388DC7">
            <w:pPr>
              <w:widowControl/>
              <w:jc w:val="center"/>
              <w:rPr>
                <w:rFonts w:ascii="Times New Roman" w:hAnsi="Times New Roman" w:cs="Times New Roman"/>
                <w:sz w:val="24"/>
                <w:szCs w:val="24"/>
              </w:rPr>
            </w:pPr>
            <w:r>
              <w:rPr>
                <w:rFonts w:ascii="Times New Roman" w:hAnsi="Times New Roman" w:cs="Times New Roman"/>
                <w:sz w:val="24"/>
                <w:szCs w:val="24"/>
              </w:rPr>
              <w:t>103.12</w:t>
            </w:r>
          </w:p>
        </w:tc>
        <w:tc>
          <w:tcPr>
            <w:tcW w:w="2222" w:type="dxa"/>
            <w:vAlign w:val="center"/>
          </w:tcPr>
          <w:p w14:paraId="7ADEE152">
            <w:pPr>
              <w:widowControl/>
              <w:jc w:val="center"/>
              <w:rPr>
                <w:rFonts w:ascii="Times New Roman" w:hAnsi="Times New Roman" w:cs="Times New Roman"/>
                <w:sz w:val="24"/>
                <w:szCs w:val="24"/>
              </w:rPr>
            </w:pPr>
            <w:r>
              <w:rPr>
                <w:rFonts w:hint="eastAsia" w:ascii="Times New Roman" w:hAnsi="Times New Roman" w:cs="Times New Roman"/>
                <w:sz w:val="24"/>
                <w:szCs w:val="24"/>
              </w:rPr>
              <w:t>半山村、大水塘村、斗山村、井塘村、陵角村、毛坪村、兴隆回龙居委会、严塘村、杨家村</w:t>
            </w:r>
          </w:p>
        </w:tc>
        <w:tc>
          <w:tcPr>
            <w:tcW w:w="1606" w:type="dxa"/>
            <w:vAlign w:val="center"/>
          </w:tcPr>
          <w:p w14:paraId="436F7FF5">
            <w:pPr>
              <w:widowControl/>
              <w:jc w:val="center"/>
              <w:rPr>
                <w:rFonts w:ascii="Times New Roman" w:hAnsi="Times New Roman" w:cs="Times New Roman"/>
                <w:sz w:val="24"/>
                <w:szCs w:val="24"/>
              </w:rPr>
            </w:pPr>
            <w:r>
              <w:rPr>
                <w:rFonts w:hint="eastAsia" w:ascii="Times New Roman" w:hAnsi="Times New Roman" w:cs="Times New Roman"/>
                <w:sz w:val="24"/>
                <w:szCs w:val="24"/>
              </w:rPr>
              <w:t>黄家村、龙头村、三潭村、山水村、铁塘村、易江村、应水农村社区</w:t>
            </w:r>
          </w:p>
        </w:tc>
        <w:tc>
          <w:tcPr>
            <w:tcW w:w="2693" w:type="dxa"/>
            <w:vAlign w:val="center"/>
          </w:tcPr>
          <w:p w14:paraId="38A9B976">
            <w:pPr>
              <w:widowControl/>
              <w:jc w:val="center"/>
              <w:rPr>
                <w:rFonts w:ascii="Times New Roman" w:hAnsi="Times New Roman" w:cs="Times New Roman"/>
                <w:sz w:val="24"/>
                <w:szCs w:val="24"/>
              </w:rPr>
            </w:pPr>
            <w:r>
              <w:rPr>
                <w:rFonts w:hint="eastAsia" w:ascii="Times New Roman" w:hAnsi="Times New Roman" w:cs="Times New Roman"/>
                <w:sz w:val="24"/>
                <w:szCs w:val="24"/>
              </w:rPr>
              <w:t>无</w:t>
            </w:r>
          </w:p>
        </w:tc>
        <w:tc>
          <w:tcPr>
            <w:tcW w:w="1134" w:type="dxa"/>
            <w:vAlign w:val="center"/>
          </w:tcPr>
          <w:p w14:paraId="1592C8F4">
            <w:pPr>
              <w:widowControl/>
              <w:jc w:val="center"/>
              <w:rPr>
                <w:rFonts w:ascii="Times New Roman" w:hAnsi="Times New Roman" w:cs="Times New Roman"/>
                <w:sz w:val="24"/>
                <w:szCs w:val="24"/>
              </w:rPr>
            </w:pPr>
            <w:r>
              <w:rPr>
                <w:rFonts w:hint="eastAsia" w:ascii="Times New Roman" w:hAnsi="Times New Roman" w:cs="Times New Roman"/>
                <w:sz w:val="24"/>
                <w:szCs w:val="24"/>
              </w:rPr>
              <w:t>2.77</w:t>
            </w:r>
          </w:p>
        </w:tc>
        <w:tc>
          <w:tcPr>
            <w:tcW w:w="1276" w:type="dxa"/>
            <w:vAlign w:val="center"/>
          </w:tcPr>
          <w:p w14:paraId="6796F6FE">
            <w:pPr>
              <w:widowControl/>
              <w:jc w:val="center"/>
              <w:rPr>
                <w:rFonts w:ascii="Times New Roman" w:hAnsi="Times New Roman" w:cs="Times New Roman"/>
                <w:sz w:val="24"/>
                <w:szCs w:val="24"/>
              </w:rPr>
            </w:pPr>
            <w:r>
              <w:rPr>
                <w:rFonts w:hint="eastAsia" w:ascii="Times New Roman" w:hAnsi="Times New Roman" w:cs="Times New Roman"/>
                <w:sz w:val="24"/>
                <w:szCs w:val="24"/>
              </w:rPr>
              <w:t>0.32</w:t>
            </w:r>
          </w:p>
        </w:tc>
        <w:tc>
          <w:tcPr>
            <w:tcW w:w="1166" w:type="dxa"/>
            <w:vAlign w:val="center"/>
          </w:tcPr>
          <w:p w14:paraId="11CDC284">
            <w:pPr>
              <w:widowControl/>
              <w:jc w:val="center"/>
              <w:rPr>
                <w:rFonts w:ascii="Times New Roman" w:hAnsi="Times New Roman" w:cs="Times New Roman"/>
                <w:sz w:val="24"/>
                <w:szCs w:val="24"/>
              </w:rPr>
            </w:pPr>
            <w:r>
              <w:rPr>
                <w:rFonts w:hint="eastAsia" w:ascii="Times New Roman" w:hAnsi="Times New Roman" w:cs="Times New Roman"/>
                <w:sz w:val="24"/>
                <w:szCs w:val="24"/>
              </w:rPr>
              <w:t>89.72</w:t>
            </w:r>
          </w:p>
        </w:tc>
      </w:tr>
      <w:tr w14:paraId="6891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6BD903C">
            <w:pPr>
              <w:widowControl/>
              <w:jc w:val="center"/>
              <w:rPr>
                <w:rFonts w:ascii="Times New Roman" w:hAnsi="Times New Roman" w:cs="Times New Roman"/>
                <w:sz w:val="24"/>
                <w:szCs w:val="24"/>
              </w:rPr>
            </w:pPr>
            <w:r>
              <w:rPr>
                <w:rFonts w:hint="eastAsia" w:ascii="Times New Roman" w:hAnsi="Times New Roman" w:cs="Times New Roman"/>
                <w:sz w:val="24"/>
                <w:szCs w:val="24"/>
              </w:rPr>
              <w:t>5</w:t>
            </w:r>
          </w:p>
        </w:tc>
        <w:tc>
          <w:tcPr>
            <w:tcW w:w="1701" w:type="dxa"/>
            <w:vAlign w:val="center"/>
          </w:tcPr>
          <w:p w14:paraId="33CA2A78">
            <w:pPr>
              <w:widowControl/>
              <w:jc w:val="center"/>
              <w:rPr>
                <w:rFonts w:ascii="Times New Roman" w:hAnsi="Times New Roman" w:cs="Times New Roman"/>
                <w:sz w:val="24"/>
                <w:szCs w:val="24"/>
              </w:rPr>
            </w:pPr>
            <w:r>
              <w:rPr>
                <w:rFonts w:hint="eastAsia" w:ascii="Times New Roman" w:hAnsi="Times New Roman" w:cs="Times New Roman"/>
                <w:sz w:val="24"/>
                <w:szCs w:val="24"/>
              </w:rPr>
              <w:t>端桥铺镇</w:t>
            </w:r>
          </w:p>
        </w:tc>
        <w:tc>
          <w:tcPr>
            <w:tcW w:w="1559" w:type="dxa"/>
            <w:vAlign w:val="center"/>
          </w:tcPr>
          <w:p w14:paraId="4FC336A7">
            <w:pPr>
              <w:widowControl/>
              <w:jc w:val="center"/>
              <w:rPr>
                <w:rFonts w:ascii="Times New Roman" w:hAnsi="Times New Roman" w:cs="Times New Roman"/>
                <w:sz w:val="24"/>
                <w:szCs w:val="24"/>
              </w:rPr>
            </w:pPr>
            <w:r>
              <w:rPr>
                <w:rFonts w:ascii="Times New Roman" w:hAnsi="Times New Roman" w:cs="Times New Roman"/>
                <w:sz w:val="24"/>
                <w:szCs w:val="24"/>
              </w:rPr>
              <w:t>134.91</w:t>
            </w:r>
          </w:p>
        </w:tc>
        <w:tc>
          <w:tcPr>
            <w:tcW w:w="2222" w:type="dxa"/>
            <w:vAlign w:val="center"/>
          </w:tcPr>
          <w:p w14:paraId="378A5E0F">
            <w:pPr>
              <w:widowControl/>
              <w:jc w:val="center"/>
              <w:rPr>
                <w:rFonts w:ascii="Times New Roman" w:hAnsi="Times New Roman" w:cs="Times New Roman"/>
                <w:sz w:val="24"/>
                <w:szCs w:val="24"/>
              </w:rPr>
            </w:pPr>
            <w:r>
              <w:rPr>
                <w:rFonts w:hint="eastAsia" w:ascii="Times New Roman" w:hAnsi="Times New Roman" w:cs="Times New Roman"/>
                <w:sz w:val="24"/>
                <w:szCs w:val="24"/>
              </w:rPr>
              <w:t>端桥铺居委会、湖塘铺村、黄木村、凉水井村、罗家村、马力山村、坪山塘村、石坝村、厅上村、下里山村、杨梓洞村、油塘村、俞家村、月潭村、竹木町农村社区</w:t>
            </w:r>
          </w:p>
        </w:tc>
        <w:tc>
          <w:tcPr>
            <w:tcW w:w="1606" w:type="dxa"/>
            <w:vAlign w:val="center"/>
          </w:tcPr>
          <w:p w14:paraId="15979C8E">
            <w:pPr>
              <w:widowControl/>
              <w:jc w:val="center"/>
              <w:rPr>
                <w:rFonts w:ascii="Times New Roman" w:hAnsi="Times New Roman" w:cs="Times New Roman"/>
                <w:sz w:val="24"/>
                <w:szCs w:val="24"/>
              </w:rPr>
            </w:pPr>
            <w:r>
              <w:rPr>
                <w:rFonts w:ascii="Times New Roman" w:hAnsi="Times New Roman" w:cs="Times New Roman"/>
                <w:sz w:val="24"/>
                <w:szCs w:val="24"/>
              </w:rPr>
              <w:t>大井村、拱桥村、汉寿村、黄塘村、黄土脑村、新屋村</w:t>
            </w:r>
          </w:p>
        </w:tc>
        <w:tc>
          <w:tcPr>
            <w:tcW w:w="2693" w:type="dxa"/>
            <w:vAlign w:val="center"/>
          </w:tcPr>
          <w:p w14:paraId="6FA24B06">
            <w:pPr>
              <w:widowControl/>
              <w:jc w:val="center"/>
              <w:rPr>
                <w:rFonts w:ascii="Times New Roman" w:hAnsi="Times New Roman" w:cs="Times New Roman"/>
                <w:sz w:val="24"/>
                <w:szCs w:val="24"/>
              </w:rPr>
            </w:pPr>
            <w:r>
              <w:rPr>
                <w:rFonts w:hint="eastAsia" w:ascii="Times New Roman" w:hAnsi="Times New Roman" w:cs="Times New Roman"/>
                <w:sz w:val="24"/>
                <w:szCs w:val="24"/>
              </w:rPr>
              <w:t>金溪村、麻溪村</w:t>
            </w:r>
          </w:p>
        </w:tc>
        <w:tc>
          <w:tcPr>
            <w:tcW w:w="1134" w:type="dxa"/>
            <w:vAlign w:val="center"/>
          </w:tcPr>
          <w:p w14:paraId="6EDFDD07">
            <w:pPr>
              <w:widowControl/>
              <w:jc w:val="center"/>
              <w:rPr>
                <w:rFonts w:ascii="Times New Roman" w:hAnsi="Times New Roman" w:cs="Times New Roman"/>
                <w:sz w:val="24"/>
                <w:szCs w:val="24"/>
              </w:rPr>
            </w:pPr>
            <w:r>
              <w:rPr>
                <w:rFonts w:hint="eastAsia" w:ascii="Times New Roman" w:hAnsi="Times New Roman" w:cs="Times New Roman"/>
                <w:sz w:val="24"/>
                <w:szCs w:val="24"/>
              </w:rPr>
              <w:t>4.78</w:t>
            </w:r>
          </w:p>
        </w:tc>
        <w:tc>
          <w:tcPr>
            <w:tcW w:w="1276" w:type="dxa"/>
            <w:vAlign w:val="center"/>
          </w:tcPr>
          <w:p w14:paraId="610AEE9E">
            <w:pPr>
              <w:widowControl/>
              <w:jc w:val="center"/>
              <w:rPr>
                <w:rFonts w:ascii="Times New Roman" w:hAnsi="Times New Roman" w:cs="Times New Roman"/>
                <w:sz w:val="24"/>
                <w:szCs w:val="24"/>
              </w:rPr>
            </w:pPr>
            <w:r>
              <w:rPr>
                <w:rFonts w:hint="eastAsia" w:ascii="Times New Roman" w:hAnsi="Times New Roman" w:cs="Times New Roman"/>
                <w:sz w:val="24"/>
                <w:szCs w:val="24"/>
              </w:rPr>
              <w:t>0.92</w:t>
            </w:r>
          </w:p>
        </w:tc>
        <w:tc>
          <w:tcPr>
            <w:tcW w:w="1166" w:type="dxa"/>
            <w:vAlign w:val="center"/>
          </w:tcPr>
          <w:p w14:paraId="34B6DA23">
            <w:pPr>
              <w:widowControl/>
              <w:jc w:val="center"/>
              <w:rPr>
                <w:rFonts w:ascii="Times New Roman" w:hAnsi="Times New Roman" w:cs="Times New Roman"/>
                <w:sz w:val="24"/>
                <w:szCs w:val="24"/>
              </w:rPr>
            </w:pPr>
            <w:r>
              <w:rPr>
                <w:rFonts w:hint="eastAsia" w:ascii="Times New Roman" w:hAnsi="Times New Roman" w:cs="Times New Roman"/>
                <w:sz w:val="24"/>
                <w:szCs w:val="24"/>
              </w:rPr>
              <w:t>83.83</w:t>
            </w:r>
          </w:p>
        </w:tc>
      </w:tr>
      <w:tr w14:paraId="2A14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59DDE80">
            <w:pPr>
              <w:widowControl/>
              <w:jc w:val="center"/>
              <w:rPr>
                <w:rFonts w:ascii="Times New Roman" w:hAnsi="Times New Roman" w:cs="Times New Roman"/>
                <w:sz w:val="24"/>
                <w:szCs w:val="24"/>
              </w:rPr>
            </w:pPr>
            <w:r>
              <w:rPr>
                <w:rFonts w:hint="eastAsia" w:ascii="Times New Roman" w:hAnsi="Times New Roman" w:cs="Times New Roman"/>
                <w:sz w:val="24"/>
                <w:szCs w:val="24"/>
              </w:rPr>
              <w:t>6</w:t>
            </w:r>
          </w:p>
        </w:tc>
        <w:tc>
          <w:tcPr>
            <w:tcW w:w="1701" w:type="dxa"/>
            <w:vAlign w:val="center"/>
          </w:tcPr>
          <w:p w14:paraId="6769F3B1">
            <w:pPr>
              <w:widowControl/>
              <w:jc w:val="center"/>
              <w:rPr>
                <w:rFonts w:ascii="Times New Roman" w:hAnsi="Times New Roman" w:cs="Times New Roman"/>
                <w:sz w:val="24"/>
                <w:szCs w:val="24"/>
              </w:rPr>
            </w:pPr>
            <w:r>
              <w:rPr>
                <w:rFonts w:hint="eastAsia" w:ascii="Times New Roman" w:hAnsi="Times New Roman" w:cs="Times New Roman"/>
                <w:sz w:val="24"/>
                <w:szCs w:val="24"/>
              </w:rPr>
              <w:t>横塘镇</w:t>
            </w:r>
          </w:p>
        </w:tc>
        <w:tc>
          <w:tcPr>
            <w:tcW w:w="1559" w:type="dxa"/>
            <w:vAlign w:val="center"/>
          </w:tcPr>
          <w:p w14:paraId="0CE942C2">
            <w:pPr>
              <w:widowControl/>
              <w:jc w:val="center"/>
              <w:rPr>
                <w:rFonts w:ascii="Times New Roman" w:hAnsi="Times New Roman" w:cs="Times New Roman"/>
                <w:sz w:val="24"/>
                <w:szCs w:val="24"/>
              </w:rPr>
            </w:pPr>
            <w:r>
              <w:rPr>
                <w:rFonts w:ascii="Times New Roman" w:hAnsi="Times New Roman" w:cs="Times New Roman"/>
                <w:sz w:val="24"/>
                <w:szCs w:val="24"/>
              </w:rPr>
              <w:t>141</w:t>
            </w:r>
          </w:p>
        </w:tc>
        <w:tc>
          <w:tcPr>
            <w:tcW w:w="2222" w:type="dxa"/>
            <w:vAlign w:val="center"/>
          </w:tcPr>
          <w:p w14:paraId="5E672845">
            <w:pPr>
              <w:widowControl/>
              <w:jc w:val="center"/>
              <w:rPr>
                <w:rFonts w:ascii="Times New Roman" w:hAnsi="Times New Roman" w:cs="Times New Roman"/>
                <w:sz w:val="24"/>
                <w:szCs w:val="24"/>
              </w:rPr>
            </w:pPr>
            <w:r>
              <w:rPr>
                <w:rFonts w:hint="eastAsia" w:ascii="Times New Roman" w:hAnsi="Times New Roman" w:cs="Times New Roman"/>
                <w:sz w:val="24"/>
                <w:szCs w:val="24"/>
              </w:rPr>
              <w:t>宝塔岩村、望明村</w:t>
            </w:r>
          </w:p>
        </w:tc>
        <w:tc>
          <w:tcPr>
            <w:tcW w:w="1606" w:type="dxa"/>
            <w:vAlign w:val="center"/>
          </w:tcPr>
          <w:p w14:paraId="73B548CD">
            <w:pPr>
              <w:widowControl/>
              <w:jc w:val="center"/>
              <w:rPr>
                <w:rFonts w:ascii="Times New Roman" w:hAnsi="Times New Roman" w:cs="Times New Roman"/>
                <w:sz w:val="24"/>
                <w:szCs w:val="24"/>
              </w:rPr>
            </w:pPr>
            <w:r>
              <w:rPr>
                <w:rFonts w:ascii="Times New Roman" w:hAnsi="Times New Roman" w:cs="Times New Roman"/>
                <w:sz w:val="24"/>
                <w:szCs w:val="24"/>
              </w:rPr>
              <w:t>大塘屋村、大月塘村、带家村、枫林村、甘庄村</w:t>
            </w:r>
          </w:p>
        </w:tc>
        <w:tc>
          <w:tcPr>
            <w:tcW w:w="2693" w:type="dxa"/>
            <w:vAlign w:val="center"/>
          </w:tcPr>
          <w:p w14:paraId="1C9E3BD7">
            <w:pPr>
              <w:widowControl/>
              <w:jc w:val="center"/>
              <w:rPr>
                <w:rFonts w:ascii="Times New Roman" w:hAnsi="Times New Roman" w:cs="Times New Roman"/>
                <w:sz w:val="24"/>
                <w:szCs w:val="24"/>
              </w:rPr>
            </w:pPr>
            <w:r>
              <w:rPr>
                <w:rFonts w:ascii="Times New Roman" w:hAnsi="Times New Roman" w:cs="Times New Roman"/>
                <w:sz w:val="24"/>
                <w:szCs w:val="24"/>
              </w:rPr>
              <w:t>白滩河村、大栗山村、大坪村、滑石头村、金云村、龙门口村、坪埠头村、三吉村、狮子铺村、石塘村、寿竹塘村、文堂居委会、湘前村、兴隆居委会</w:t>
            </w:r>
          </w:p>
        </w:tc>
        <w:tc>
          <w:tcPr>
            <w:tcW w:w="1134" w:type="dxa"/>
            <w:vAlign w:val="center"/>
          </w:tcPr>
          <w:p w14:paraId="29E744C9">
            <w:pPr>
              <w:widowControl/>
              <w:jc w:val="center"/>
              <w:rPr>
                <w:rFonts w:ascii="Times New Roman" w:hAnsi="Times New Roman" w:cs="Times New Roman"/>
                <w:sz w:val="24"/>
                <w:szCs w:val="24"/>
              </w:rPr>
            </w:pPr>
            <w:r>
              <w:rPr>
                <w:rFonts w:hint="eastAsia" w:ascii="Times New Roman" w:hAnsi="Times New Roman" w:cs="Times New Roman"/>
                <w:sz w:val="24"/>
                <w:szCs w:val="24"/>
              </w:rPr>
              <w:t>1.24</w:t>
            </w:r>
          </w:p>
        </w:tc>
        <w:tc>
          <w:tcPr>
            <w:tcW w:w="1276" w:type="dxa"/>
            <w:vAlign w:val="center"/>
          </w:tcPr>
          <w:p w14:paraId="5A3F29B5">
            <w:pPr>
              <w:widowControl/>
              <w:jc w:val="center"/>
              <w:rPr>
                <w:rFonts w:ascii="Times New Roman" w:hAnsi="Times New Roman" w:cs="Times New Roman"/>
                <w:sz w:val="24"/>
                <w:szCs w:val="24"/>
              </w:rPr>
            </w:pPr>
            <w:r>
              <w:rPr>
                <w:rFonts w:hint="eastAsia" w:ascii="Times New Roman" w:hAnsi="Times New Roman" w:cs="Times New Roman"/>
                <w:sz w:val="24"/>
                <w:szCs w:val="24"/>
              </w:rPr>
              <w:t>3.12</w:t>
            </w:r>
          </w:p>
        </w:tc>
        <w:tc>
          <w:tcPr>
            <w:tcW w:w="1166" w:type="dxa"/>
            <w:vAlign w:val="center"/>
          </w:tcPr>
          <w:p w14:paraId="75108406">
            <w:pPr>
              <w:widowControl/>
              <w:jc w:val="center"/>
              <w:rPr>
                <w:rFonts w:ascii="Times New Roman" w:hAnsi="Times New Roman" w:cs="Times New Roman"/>
                <w:sz w:val="24"/>
                <w:szCs w:val="24"/>
              </w:rPr>
            </w:pPr>
            <w:r>
              <w:rPr>
                <w:rFonts w:hint="eastAsia" w:ascii="Times New Roman" w:hAnsi="Times New Roman" w:cs="Times New Roman"/>
                <w:sz w:val="24"/>
                <w:szCs w:val="24"/>
              </w:rPr>
              <w:t>28.45</w:t>
            </w:r>
          </w:p>
        </w:tc>
      </w:tr>
      <w:tr w14:paraId="4EAA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F2D355A">
            <w:pPr>
              <w:widowControl/>
              <w:jc w:val="center"/>
              <w:rPr>
                <w:rFonts w:ascii="Times New Roman" w:hAnsi="Times New Roman" w:cs="Times New Roman"/>
                <w:sz w:val="24"/>
                <w:szCs w:val="24"/>
              </w:rPr>
            </w:pPr>
            <w:r>
              <w:rPr>
                <w:rFonts w:hint="eastAsia" w:ascii="Times New Roman" w:hAnsi="Times New Roman" w:cs="Times New Roman"/>
                <w:sz w:val="24"/>
                <w:szCs w:val="24"/>
              </w:rPr>
              <w:t>7</w:t>
            </w:r>
          </w:p>
        </w:tc>
        <w:tc>
          <w:tcPr>
            <w:tcW w:w="1701" w:type="dxa"/>
            <w:vAlign w:val="center"/>
          </w:tcPr>
          <w:p w14:paraId="4A3B54FD">
            <w:pPr>
              <w:widowControl/>
              <w:jc w:val="center"/>
              <w:rPr>
                <w:rFonts w:ascii="Times New Roman" w:hAnsi="Times New Roman" w:cs="Times New Roman"/>
                <w:sz w:val="24"/>
                <w:szCs w:val="24"/>
              </w:rPr>
            </w:pPr>
            <w:r>
              <w:rPr>
                <w:rFonts w:hint="eastAsia" w:ascii="Times New Roman" w:hAnsi="Times New Roman" w:cs="Times New Roman"/>
                <w:sz w:val="24"/>
                <w:szCs w:val="24"/>
              </w:rPr>
              <w:t>花桥镇</w:t>
            </w:r>
          </w:p>
        </w:tc>
        <w:tc>
          <w:tcPr>
            <w:tcW w:w="1559" w:type="dxa"/>
            <w:vAlign w:val="center"/>
          </w:tcPr>
          <w:p w14:paraId="5E8D4015">
            <w:pPr>
              <w:widowControl/>
              <w:jc w:val="center"/>
              <w:rPr>
                <w:rFonts w:ascii="Times New Roman" w:hAnsi="Times New Roman" w:cs="Times New Roman"/>
                <w:sz w:val="24"/>
                <w:szCs w:val="24"/>
              </w:rPr>
            </w:pPr>
            <w:r>
              <w:rPr>
                <w:rFonts w:ascii="Times New Roman" w:hAnsi="Times New Roman" w:cs="Times New Roman"/>
                <w:sz w:val="24"/>
                <w:szCs w:val="24"/>
              </w:rPr>
              <w:t>52.98</w:t>
            </w:r>
          </w:p>
        </w:tc>
        <w:tc>
          <w:tcPr>
            <w:tcW w:w="2222" w:type="dxa"/>
            <w:vAlign w:val="center"/>
          </w:tcPr>
          <w:p w14:paraId="518A26DF">
            <w:pPr>
              <w:widowControl/>
              <w:jc w:val="center"/>
              <w:rPr>
                <w:rFonts w:ascii="Times New Roman" w:hAnsi="Times New Roman" w:cs="Times New Roman"/>
                <w:sz w:val="24"/>
                <w:szCs w:val="24"/>
              </w:rPr>
            </w:pPr>
            <w:r>
              <w:rPr>
                <w:rFonts w:hint="eastAsia" w:ascii="Times New Roman" w:hAnsi="Times New Roman" w:cs="Times New Roman"/>
                <w:sz w:val="24"/>
                <w:szCs w:val="24"/>
              </w:rPr>
              <w:t>陈樟村、刘阳村、青塘村、苏门村、唐家村、文明村、香井村、星火村、中塘村、花桥居委会</w:t>
            </w:r>
          </w:p>
        </w:tc>
        <w:tc>
          <w:tcPr>
            <w:tcW w:w="1606" w:type="dxa"/>
            <w:vAlign w:val="center"/>
          </w:tcPr>
          <w:p w14:paraId="234700A3">
            <w:pPr>
              <w:widowControl/>
              <w:jc w:val="center"/>
              <w:rPr>
                <w:rFonts w:ascii="Times New Roman" w:hAnsi="Times New Roman" w:cs="Times New Roman"/>
                <w:sz w:val="24"/>
                <w:szCs w:val="24"/>
              </w:rPr>
            </w:pPr>
            <w:r>
              <w:rPr>
                <w:rFonts w:hint="eastAsia" w:ascii="Times New Roman" w:hAnsi="Times New Roman" w:cs="Times New Roman"/>
                <w:sz w:val="24"/>
                <w:szCs w:val="24"/>
              </w:rPr>
              <w:t>无</w:t>
            </w:r>
          </w:p>
        </w:tc>
        <w:tc>
          <w:tcPr>
            <w:tcW w:w="2693" w:type="dxa"/>
            <w:vAlign w:val="center"/>
          </w:tcPr>
          <w:p w14:paraId="5918788A">
            <w:pPr>
              <w:widowControl/>
              <w:jc w:val="center"/>
              <w:rPr>
                <w:rFonts w:ascii="Times New Roman" w:hAnsi="Times New Roman" w:cs="Times New Roman"/>
                <w:sz w:val="24"/>
                <w:szCs w:val="24"/>
              </w:rPr>
            </w:pPr>
            <w:r>
              <w:rPr>
                <w:rFonts w:hint="eastAsia" w:ascii="Times New Roman" w:hAnsi="Times New Roman" w:cs="Times New Roman"/>
                <w:sz w:val="24"/>
                <w:szCs w:val="24"/>
              </w:rPr>
              <w:t>无</w:t>
            </w:r>
          </w:p>
        </w:tc>
        <w:tc>
          <w:tcPr>
            <w:tcW w:w="1134" w:type="dxa"/>
            <w:vAlign w:val="center"/>
          </w:tcPr>
          <w:p w14:paraId="226A4642">
            <w:pPr>
              <w:widowControl/>
              <w:jc w:val="center"/>
              <w:rPr>
                <w:rFonts w:ascii="Times New Roman" w:hAnsi="Times New Roman" w:cs="Times New Roman"/>
                <w:sz w:val="24"/>
                <w:szCs w:val="24"/>
              </w:rPr>
            </w:pPr>
            <w:r>
              <w:rPr>
                <w:rFonts w:hint="eastAsia" w:ascii="Times New Roman" w:hAnsi="Times New Roman" w:cs="Times New Roman"/>
                <w:sz w:val="24"/>
                <w:szCs w:val="24"/>
              </w:rPr>
              <w:t>1.61</w:t>
            </w:r>
          </w:p>
        </w:tc>
        <w:tc>
          <w:tcPr>
            <w:tcW w:w="1276" w:type="dxa"/>
            <w:vAlign w:val="center"/>
          </w:tcPr>
          <w:p w14:paraId="46549513">
            <w:pPr>
              <w:widowControl/>
              <w:jc w:val="center"/>
              <w:rPr>
                <w:rFonts w:ascii="Times New Roman" w:hAnsi="Times New Roman" w:cs="Times New Roman"/>
                <w:sz w:val="24"/>
                <w:szCs w:val="24"/>
              </w:rPr>
            </w:pPr>
            <w:r>
              <w:rPr>
                <w:rFonts w:hint="eastAsia" w:ascii="Times New Roman" w:hAnsi="Times New Roman" w:cs="Times New Roman"/>
                <w:sz w:val="24"/>
                <w:szCs w:val="24"/>
              </w:rPr>
              <w:t>0</w:t>
            </w:r>
          </w:p>
        </w:tc>
        <w:tc>
          <w:tcPr>
            <w:tcW w:w="1166" w:type="dxa"/>
            <w:vAlign w:val="center"/>
          </w:tcPr>
          <w:p w14:paraId="0EB3888F">
            <w:pPr>
              <w:widowControl/>
              <w:jc w:val="center"/>
              <w:rPr>
                <w:rFonts w:ascii="Times New Roman" w:hAnsi="Times New Roman" w:cs="Times New Roman"/>
                <w:sz w:val="24"/>
                <w:szCs w:val="24"/>
              </w:rPr>
            </w:pPr>
            <w:r>
              <w:rPr>
                <w:rFonts w:hint="eastAsia" w:ascii="Times New Roman" w:hAnsi="Times New Roman" w:cs="Times New Roman"/>
                <w:sz w:val="24"/>
                <w:szCs w:val="24"/>
              </w:rPr>
              <w:t>100</w:t>
            </w:r>
          </w:p>
        </w:tc>
      </w:tr>
      <w:tr w14:paraId="6F20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25167487">
            <w:pPr>
              <w:widowControl/>
              <w:jc w:val="center"/>
              <w:rPr>
                <w:rFonts w:ascii="Times New Roman" w:hAnsi="Times New Roman" w:cs="Times New Roman"/>
                <w:sz w:val="24"/>
                <w:szCs w:val="24"/>
              </w:rPr>
            </w:pPr>
            <w:r>
              <w:rPr>
                <w:rFonts w:hint="eastAsia" w:ascii="Times New Roman" w:hAnsi="Times New Roman" w:cs="Times New Roman"/>
                <w:sz w:val="24"/>
                <w:szCs w:val="24"/>
              </w:rPr>
              <w:t>8</w:t>
            </w:r>
          </w:p>
        </w:tc>
        <w:tc>
          <w:tcPr>
            <w:tcW w:w="1701" w:type="dxa"/>
            <w:vAlign w:val="center"/>
          </w:tcPr>
          <w:p w14:paraId="2859A49C">
            <w:pPr>
              <w:widowControl/>
              <w:jc w:val="center"/>
              <w:rPr>
                <w:rFonts w:ascii="Times New Roman" w:hAnsi="Times New Roman" w:cs="Times New Roman"/>
                <w:sz w:val="24"/>
                <w:szCs w:val="24"/>
              </w:rPr>
            </w:pPr>
            <w:r>
              <w:rPr>
                <w:rFonts w:hint="eastAsia" w:ascii="Times New Roman" w:hAnsi="Times New Roman" w:cs="Times New Roman"/>
                <w:sz w:val="24"/>
                <w:szCs w:val="24"/>
              </w:rPr>
              <w:t>黄泥洞林场</w:t>
            </w:r>
          </w:p>
        </w:tc>
        <w:tc>
          <w:tcPr>
            <w:tcW w:w="1559" w:type="dxa"/>
            <w:vAlign w:val="center"/>
          </w:tcPr>
          <w:p w14:paraId="46D31F4B">
            <w:pPr>
              <w:widowControl/>
              <w:jc w:val="center"/>
              <w:rPr>
                <w:rFonts w:ascii="Times New Roman" w:hAnsi="Times New Roman" w:cs="Times New Roman"/>
                <w:sz w:val="24"/>
                <w:szCs w:val="24"/>
              </w:rPr>
            </w:pPr>
            <w:r>
              <w:rPr>
                <w:rFonts w:ascii="Times New Roman" w:hAnsi="Times New Roman" w:cs="Times New Roman"/>
                <w:sz w:val="24"/>
                <w:szCs w:val="24"/>
              </w:rPr>
              <w:t>27.39</w:t>
            </w:r>
          </w:p>
        </w:tc>
        <w:tc>
          <w:tcPr>
            <w:tcW w:w="2222" w:type="dxa"/>
            <w:vAlign w:val="center"/>
          </w:tcPr>
          <w:p w14:paraId="157549B0">
            <w:pPr>
              <w:widowControl/>
              <w:jc w:val="center"/>
              <w:rPr>
                <w:rFonts w:ascii="Times New Roman" w:hAnsi="Times New Roman" w:cs="Times New Roman"/>
                <w:sz w:val="24"/>
                <w:szCs w:val="24"/>
              </w:rPr>
            </w:pPr>
            <w:r>
              <w:rPr>
                <w:rFonts w:hint="eastAsia" w:ascii="Times New Roman" w:hAnsi="Times New Roman" w:cs="Times New Roman"/>
                <w:sz w:val="24"/>
                <w:szCs w:val="24"/>
              </w:rPr>
              <w:t>无</w:t>
            </w:r>
          </w:p>
        </w:tc>
        <w:tc>
          <w:tcPr>
            <w:tcW w:w="1606" w:type="dxa"/>
            <w:vAlign w:val="center"/>
          </w:tcPr>
          <w:p w14:paraId="3731072D">
            <w:pPr>
              <w:widowControl/>
              <w:jc w:val="center"/>
              <w:rPr>
                <w:rFonts w:ascii="Times New Roman" w:hAnsi="Times New Roman" w:cs="Times New Roman"/>
                <w:sz w:val="24"/>
                <w:szCs w:val="24"/>
              </w:rPr>
            </w:pPr>
            <w:r>
              <w:rPr>
                <w:rFonts w:hint="eastAsia" w:ascii="Times New Roman" w:hAnsi="Times New Roman" w:cs="Times New Roman"/>
                <w:sz w:val="24"/>
                <w:szCs w:val="24"/>
              </w:rPr>
              <w:t>无</w:t>
            </w:r>
          </w:p>
        </w:tc>
        <w:tc>
          <w:tcPr>
            <w:tcW w:w="2693" w:type="dxa"/>
            <w:vAlign w:val="center"/>
          </w:tcPr>
          <w:p w14:paraId="3EE34D0A">
            <w:pPr>
              <w:widowControl/>
              <w:jc w:val="center"/>
              <w:rPr>
                <w:rFonts w:ascii="Times New Roman" w:hAnsi="Times New Roman" w:cs="Times New Roman"/>
                <w:sz w:val="24"/>
                <w:szCs w:val="24"/>
              </w:rPr>
            </w:pPr>
            <w:r>
              <w:rPr>
                <w:rFonts w:hint="eastAsia" w:ascii="Times New Roman" w:hAnsi="Times New Roman" w:cs="Times New Roman"/>
                <w:sz w:val="24"/>
                <w:szCs w:val="24"/>
              </w:rPr>
              <w:t>黄泥洞国有林场</w:t>
            </w:r>
          </w:p>
        </w:tc>
        <w:tc>
          <w:tcPr>
            <w:tcW w:w="1134" w:type="dxa"/>
            <w:vAlign w:val="center"/>
          </w:tcPr>
          <w:p w14:paraId="48B0D0A0">
            <w:pPr>
              <w:widowControl/>
              <w:jc w:val="center"/>
              <w:rPr>
                <w:rFonts w:ascii="Times New Roman" w:hAnsi="Times New Roman" w:cs="Times New Roman"/>
                <w:sz w:val="24"/>
                <w:szCs w:val="24"/>
              </w:rPr>
            </w:pPr>
            <w:r>
              <w:rPr>
                <w:rFonts w:hint="eastAsia" w:ascii="Times New Roman" w:hAnsi="Times New Roman" w:cs="Times New Roman"/>
                <w:sz w:val="24"/>
                <w:szCs w:val="24"/>
              </w:rPr>
              <w:t>0</w:t>
            </w:r>
          </w:p>
        </w:tc>
        <w:tc>
          <w:tcPr>
            <w:tcW w:w="1276" w:type="dxa"/>
            <w:vAlign w:val="center"/>
          </w:tcPr>
          <w:p w14:paraId="0432F364">
            <w:pPr>
              <w:widowControl/>
              <w:jc w:val="center"/>
              <w:rPr>
                <w:rFonts w:ascii="Times New Roman" w:hAnsi="Times New Roman" w:cs="Times New Roman"/>
                <w:sz w:val="24"/>
                <w:szCs w:val="24"/>
              </w:rPr>
            </w:pPr>
            <w:r>
              <w:rPr>
                <w:rFonts w:hint="eastAsia" w:ascii="Times New Roman" w:hAnsi="Times New Roman" w:cs="Times New Roman"/>
                <w:sz w:val="24"/>
                <w:szCs w:val="24"/>
              </w:rPr>
              <w:t>0.01</w:t>
            </w:r>
          </w:p>
        </w:tc>
        <w:tc>
          <w:tcPr>
            <w:tcW w:w="1166" w:type="dxa"/>
            <w:vAlign w:val="center"/>
          </w:tcPr>
          <w:p w14:paraId="5754A1A2">
            <w:pPr>
              <w:widowControl/>
              <w:jc w:val="center"/>
              <w:rPr>
                <w:rFonts w:ascii="Times New Roman" w:hAnsi="Times New Roman" w:cs="Times New Roman"/>
                <w:sz w:val="24"/>
                <w:szCs w:val="24"/>
              </w:rPr>
            </w:pPr>
            <w:r>
              <w:rPr>
                <w:rFonts w:hint="eastAsia" w:ascii="Times New Roman" w:hAnsi="Times New Roman" w:cs="Times New Roman"/>
                <w:sz w:val="24"/>
                <w:szCs w:val="24"/>
              </w:rPr>
              <w:t>0</w:t>
            </w:r>
          </w:p>
        </w:tc>
      </w:tr>
      <w:tr w14:paraId="74B1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4194223">
            <w:pPr>
              <w:widowControl/>
              <w:jc w:val="center"/>
              <w:rPr>
                <w:rFonts w:ascii="Times New Roman" w:hAnsi="Times New Roman" w:cs="Times New Roman"/>
                <w:sz w:val="24"/>
                <w:szCs w:val="24"/>
              </w:rPr>
            </w:pPr>
            <w:r>
              <w:rPr>
                <w:rFonts w:hint="eastAsia" w:ascii="Times New Roman" w:hAnsi="Times New Roman" w:cs="Times New Roman"/>
                <w:sz w:val="24"/>
                <w:szCs w:val="24"/>
              </w:rPr>
              <w:t>9</w:t>
            </w:r>
          </w:p>
        </w:tc>
        <w:tc>
          <w:tcPr>
            <w:tcW w:w="1701" w:type="dxa"/>
            <w:vAlign w:val="center"/>
          </w:tcPr>
          <w:p w14:paraId="36917329">
            <w:pPr>
              <w:widowControl/>
              <w:jc w:val="center"/>
              <w:rPr>
                <w:rFonts w:ascii="Times New Roman" w:hAnsi="Times New Roman" w:cs="Times New Roman"/>
                <w:sz w:val="24"/>
                <w:szCs w:val="24"/>
              </w:rPr>
            </w:pPr>
            <w:r>
              <w:rPr>
                <w:rFonts w:hint="eastAsia" w:ascii="Times New Roman" w:hAnsi="Times New Roman" w:cs="Times New Roman"/>
                <w:sz w:val="24"/>
                <w:szCs w:val="24"/>
              </w:rPr>
              <w:t>井头圩镇</w:t>
            </w:r>
          </w:p>
        </w:tc>
        <w:tc>
          <w:tcPr>
            <w:tcW w:w="1559" w:type="dxa"/>
            <w:vAlign w:val="center"/>
          </w:tcPr>
          <w:p w14:paraId="22E67E35">
            <w:pPr>
              <w:widowControl/>
              <w:jc w:val="center"/>
              <w:rPr>
                <w:rFonts w:ascii="Times New Roman" w:hAnsi="Times New Roman" w:cs="Times New Roman"/>
                <w:sz w:val="24"/>
                <w:szCs w:val="24"/>
              </w:rPr>
            </w:pPr>
            <w:r>
              <w:rPr>
                <w:rFonts w:ascii="Times New Roman" w:hAnsi="Times New Roman" w:cs="Times New Roman"/>
                <w:sz w:val="24"/>
                <w:szCs w:val="24"/>
              </w:rPr>
              <w:t>165.65</w:t>
            </w:r>
          </w:p>
        </w:tc>
        <w:tc>
          <w:tcPr>
            <w:tcW w:w="2222" w:type="dxa"/>
            <w:vAlign w:val="center"/>
          </w:tcPr>
          <w:p w14:paraId="49FAFE6C">
            <w:pPr>
              <w:widowControl/>
              <w:jc w:val="center"/>
              <w:rPr>
                <w:rFonts w:ascii="Times New Roman" w:hAnsi="Times New Roman" w:cs="Times New Roman"/>
                <w:sz w:val="24"/>
                <w:szCs w:val="24"/>
              </w:rPr>
            </w:pPr>
            <w:r>
              <w:rPr>
                <w:rFonts w:hint="eastAsia" w:ascii="Times New Roman" w:hAnsi="Times New Roman" w:cs="Times New Roman"/>
                <w:sz w:val="24"/>
                <w:szCs w:val="24"/>
              </w:rPr>
              <w:t>齐心村、八字门村、宝鱼村、大义村、凡龙圩村、枫木塘村、凤凰村、古楼兰家村、蒋家源村、井头圩村、廖家村、岭观村、满竹村、山口铺村、上大村、石板铺村、霞栖村、新塘村、永兴村、紫江村、火车站居委会、老街居委会、草鞋街居委会</w:t>
            </w:r>
          </w:p>
        </w:tc>
        <w:tc>
          <w:tcPr>
            <w:tcW w:w="1606" w:type="dxa"/>
            <w:vAlign w:val="center"/>
          </w:tcPr>
          <w:p w14:paraId="4520BAC0">
            <w:pPr>
              <w:widowControl/>
              <w:jc w:val="center"/>
              <w:rPr>
                <w:rFonts w:ascii="Times New Roman" w:hAnsi="Times New Roman" w:cs="Times New Roman"/>
                <w:sz w:val="24"/>
                <w:szCs w:val="24"/>
              </w:rPr>
            </w:pPr>
            <w:r>
              <w:rPr>
                <w:rFonts w:ascii="Times New Roman" w:hAnsi="Times New Roman" w:cs="Times New Roman"/>
                <w:sz w:val="24"/>
                <w:szCs w:val="24"/>
              </w:rPr>
              <w:t>大藕村、云凤村</w:t>
            </w:r>
          </w:p>
        </w:tc>
        <w:tc>
          <w:tcPr>
            <w:tcW w:w="2693" w:type="dxa"/>
            <w:vAlign w:val="center"/>
          </w:tcPr>
          <w:p w14:paraId="554D769B">
            <w:pPr>
              <w:widowControl/>
              <w:jc w:val="center"/>
              <w:rPr>
                <w:rFonts w:ascii="Times New Roman" w:hAnsi="Times New Roman" w:cs="Times New Roman"/>
                <w:sz w:val="24"/>
                <w:szCs w:val="24"/>
              </w:rPr>
            </w:pPr>
            <w:r>
              <w:rPr>
                <w:rFonts w:ascii="Times New Roman" w:hAnsi="Times New Roman" w:cs="Times New Roman"/>
                <w:sz w:val="24"/>
                <w:szCs w:val="24"/>
              </w:rPr>
              <w:t>芭蕉村</w:t>
            </w:r>
          </w:p>
        </w:tc>
        <w:tc>
          <w:tcPr>
            <w:tcW w:w="1134" w:type="dxa"/>
            <w:vAlign w:val="center"/>
          </w:tcPr>
          <w:p w14:paraId="4127E180">
            <w:pPr>
              <w:widowControl/>
              <w:jc w:val="center"/>
              <w:rPr>
                <w:rFonts w:ascii="Times New Roman" w:hAnsi="Times New Roman" w:cs="Times New Roman"/>
                <w:sz w:val="24"/>
                <w:szCs w:val="24"/>
              </w:rPr>
            </w:pPr>
            <w:r>
              <w:rPr>
                <w:rFonts w:hint="eastAsia" w:ascii="Times New Roman" w:hAnsi="Times New Roman" w:cs="Times New Roman"/>
                <w:sz w:val="24"/>
                <w:szCs w:val="24"/>
              </w:rPr>
              <w:t>6.48</w:t>
            </w:r>
          </w:p>
        </w:tc>
        <w:tc>
          <w:tcPr>
            <w:tcW w:w="1276" w:type="dxa"/>
            <w:vAlign w:val="center"/>
          </w:tcPr>
          <w:p w14:paraId="7522FE48">
            <w:pPr>
              <w:widowControl/>
              <w:jc w:val="center"/>
              <w:rPr>
                <w:rFonts w:ascii="Times New Roman" w:hAnsi="Times New Roman" w:cs="Times New Roman"/>
                <w:sz w:val="24"/>
                <w:szCs w:val="24"/>
              </w:rPr>
            </w:pPr>
            <w:r>
              <w:rPr>
                <w:rFonts w:hint="eastAsia" w:ascii="Times New Roman" w:hAnsi="Times New Roman" w:cs="Times New Roman"/>
                <w:sz w:val="24"/>
                <w:szCs w:val="24"/>
              </w:rPr>
              <w:t>0.63</w:t>
            </w:r>
          </w:p>
        </w:tc>
        <w:tc>
          <w:tcPr>
            <w:tcW w:w="1166" w:type="dxa"/>
            <w:vAlign w:val="center"/>
          </w:tcPr>
          <w:p w14:paraId="6E1E3A15">
            <w:pPr>
              <w:widowControl/>
              <w:jc w:val="center"/>
              <w:rPr>
                <w:rFonts w:ascii="Times New Roman" w:hAnsi="Times New Roman" w:cs="Times New Roman"/>
                <w:sz w:val="24"/>
                <w:szCs w:val="24"/>
              </w:rPr>
            </w:pPr>
            <w:r>
              <w:rPr>
                <w:rFonts w:hint="eastAsia" w:ascii="Times New Roman" w:hAnsi="Times New Roman" w:cs="Times New Roman"/>
                <w:sz w:val="24"/>
                <w:szCs w:val="24"/>
              </w:rPr>
              <w:t>91.2</w:t>
            </w:r>
          </w:p>
        </w:tc>
      </w:tr>
      <w:tr w14:paraId="324B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3E4F97A">
            <w:pPr>
              <w:widowControl/>
              <w:jc w:val="center"/>
              <w:rPr>
                <w:rFonts w:ascii="Times New Roman" w:hAnsi="Times New Roman" w:cs="Times New Roman"/>
                <w:sz w:val="24"/>
                <w:szCs w:val="24"/>
              </w:rPr>
            </w:pPr>
            <w:r>
              <w:rPr>
                <w:rFonts w:hint="eastAsia" w:ascii="Times New Roman" w:hAnsi="Times New Roman" w:cs="Times New Roman"/>
                <w:sz w:val="24"/>
                <w:szCs w:val="24"/>
              </w:rPr>
              <w:t>10</w:t>
            </w:r>
          </w:p>
        </w:tc>
        <w:tc>
          <w:tcPr>
            <w:tcW w:w="1701" w:type="dxa"/>
            <w:vAlign w:val="center"/>
          </w:tcPr>
          <w:p w14:paraId="0922218D">
            <w:pPr>
              <w:widowControl/>
              <w:jc w:val="center"/>
              <w:rPr>
                <w:rFonts w:ascii="Times New Roman" w:hAnsi="Times New Roman" w:cs="Times New Roman"/>
                <w:sz w:val="24"/>
                <w:szCs w:val="24"/>
              </w:rPr>
            </w:pPr>
            <w:r>
              <w:rPr>
                <w:rFonts w:hint="eastAsia" w:ascii="Times New Roman" w:hAnsi="Times New Roman" w:cs="Times New Roman"/>
                <w:sz w:val="24"/>
                <w:szCs w:val="24"/>
              </w:rPr>
              <w:t>芦洪市镇</w:t>
            </w:r>
          </w:p>
        </w:tc>
        <w:tc>
          <w:tcPr>
            <w:tcW w:w="1559" w:type="dxa"/>
            <w:vAlign w:val="center"/>
          </w:tcPr>
          <w:p w14:paraId="6CC32458">
            <w:pPr>
              <w:widowControl/>
              <w:jc w:val="center"/>
              <w:rPr>
                <w:rFonts w:ascii="Times New Roman" w:hAnsi="Times New Roman" w:cs="Times New Roman"/>
                <w:sz w:val="24"/>
                <w:szCs w:val="24"/>
              </w:rPr>
            </w:pPr>
            <w:r>
              <w:rPr>
                <w:rFonts w:ascii="Times New Roman" w:hAnsi="Times New Roman" w:cs="Times New Roman"/>
                <w:sz w:val="24"/>
                <w:szCs w:val="24"/>
              </w:rPr>
              <w:t>136.45</w:t>
            </w:r>
          </w:p>
        </w:tc>
        <w:tc>
          <w:tcPr>
            <w:tcW w:w="2222" w:type="dxa"/>
            <w:vAlign w:val="center"/>
          </w:tcPr>
          <w:p w14:paraId="41B23D7F">
            <w:pPr>
              <w:widowControl/>
              <w:jc w:val="center"/>
              <w:rPr>
                <w:rFonts w:ascii="Times New Roman" w:hAnsi="Times New Roman" w:cs="Times New Roman"/>
                <w:sz w:val="24"/>
                <w:szCs w:val="24"/>
              </w:rPr>
            </w:pPr>
            <w:r>
              <w:rPr>
                <w:rFonts w:hint="eastAsia" w:ascii="Times New Roman" w:hAnsi="Times New Roman" w:cs="Times New Roman"/>
                <w:sz w:val="24"/>
                <w:szCs w:val="24"/>
              </w:rPr>
              <w:t>白木村、慈巴铺村、大枧塘村、大竹村、枫塘村、和平村、华兴村、金润村、九龙岩村、芦洪村、芦江村、南江村、社塘村、石施村、唐家桥村、天子岭村、同心村、王家亭村、伍家桥村、西江桥村、杨柳井村、赵家井村、柘刺坪村、中心村、应阳社区、大街居委会、九连桥居委会、祖师殿居委会、圩镇居委会</w:t>
            </w:r>
          </w:p>
        </w:tc>
        <w:tc>
          <w:tcPr>
            <w:tcW w:w="1606" w:type="dxa"/>
            <w:vAlign w:val="center"/>
          </w:tcPr>
          <w:p w14:paraId="7C4F8A6F">
            <w:pPr>
              <w:widowControl/>
              <w:jc w:val="center"/>
              <w:rPr>
                <w:rFonts w:ascii="Times New Roman" w:hAnsi="Times New Roman" w:cs="Times New Roman"/>
                <w:sz w:val="24"/>
                <w:szCs w:val="24"/>
              </w:rPr>
            </w:pPr>
            <w:r>
              <w:rPr>
                <w:rFonts w:ascii="Times New Roman" w:hAnsi="Times New Roman" w:cs="Times New Roman"/>
                <w:sz w:val="24"/>
                <w:szCs w:val="24"/>
              </w:rPr>
              <w:t>溪源村、溪洲村、祥和村、小福村、雄塘村</w:t>
            </w:r>
          </w:p>
        </w:tc>
        <w:tc>
          <w:tcPr>
            <w:tcW w:w="2693" w:type="dxa"/>
            <w:vAlign w:val="center"/>
          </w:tcPr>
          <w:p w14:paraId="0E775542">
            <w:pPr>
              <w:widowControl/>
              <w:jc w:val="center"/>
              <w:rPr>
                <w:rFonts w:ascii="Times New Roman" w:hAnsi="Times New Roman" w:cs="Times New Roman"/>
                <w:sz w:val="24"/>
                <w:szCs w:val="24"/>
              </w:rPr>
            </w:pPr>
            <w:r>
              <w:rPr>
                <w:rFonts w:ascii="Times New Roman" w:hAnsi="Times New Roman" w:cs="Times New Roman"/>
                <w:sz w:val="24"/>
                <w:szCs w:val="24"/>
              </w:rPr>
              <w:t>留驾岌村、新田村</w:t>
            </w:r>
          </w:p>
        </w:tc>
        <w:tc>
          <w:tcPr>
            <w:tcW w:w="1134" w:type="dxa"/>
            <w:vAlign w:val="center"/>
          </w:tcPr>
          <w:p w14:paraId="315C24E4">
            <w:pPr>
              <w:widowControl/>
              <w:jc w:val="center"/>
              <w:rPr>
                <w:rFonts w:ascii="Times New Roman" w:hAnsi="Times New Roman" w:cs="Times New Roman"/>
                <w:sz w:val="24"/>
                <w:szCs w:val="24"/>
              </w:rPr>
            </w:pPr>
            <w:r>
              <w:rPr>
                <w:rFonts w:hint="eastAsia" w:ascii="Times New Roman" w:hAnsi="Times New Roman" w:cs="Times New Roman"/>
                <w:sz w:val="24"/>
                <w:szCs w:val="24"/>
              </w:rPr>
              <w:t>4.48</w:t>
            </w:r>
          </w:p>
        </w:tc>
        <w:tc>
          <w:tcPr>
            <w:tcW w:w="1276" w:type="dxa"/>
            <w:vAlign w:val="center"/>
          </w:tcPr>
          <w:p w14:paraId="22B5499C">
            <w:pPr>
              <w:widowControl/>
              <w:jc w:val="center"/>
              <w:rPr>
                <w:rFonts w:ascii="Times New Roman" w:hAnsi="Times New Roman" w:cs="Times New Roman"/>
                <w:sz w:val="24"/>
                <w:szCs w:val="24"/>
              </w:rPr>
            </w:pPr>
            <w:r>
              <w:rPr>
                <w:rFonts w:hint="eastAsia" w:ascii="Times New Roman" w:hAnsi="Times New Roman" w:cs="Times New Roman"/>
                <w:sz w:val="24"/>
                <w:szCs w:val="24"/>
              </w:rPr>
              <w:t>0.87</w:t>
            </w:r>
          </w:p>
        </w:tc>
        <w:tc>
          <w:tcPr>
            <w:tcW w:w="1166" w:type="dxa"/>
            <w:vAlign w:val="center"/>
          </w:tcPr>
          <w:p w14:paraId="7E38037D">
            <w:pPr>
              <w:widowControl/>
              <w:jc w:val="center"/>
              <w:rPr>
                <w:rFonts w:ascii="Times New Roman" w:hAnsi="Times New Roman" w:cs="Times New Roman"/>
                <w:sz w:val="24"/>
                <w:szCs w:val="24"/>
              </w:rPr>
            </w:pPr>
            <w:r>
              <w:rPr>
                <w:rFonts w:hint="eastAsia" w:ascii="Times New Roman" w:hAnsi="Times New Roman" w:cs="Times New Roman"/>
                <w:sz w:val="24"/>
                <w:szCs w:val="24"/>
              </w:rPr>
              <w:t>83.78</w:t>
            </w:r>
          </w:p>
        </w:tc>
      </w:tr>
      <w:tr w14:paraId="7FA4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C23C71B">
            <w:pPr>
              <w:widowControl/>
              <w:jc w:val="center"/>
              <w:rPr>
                <w:rFonts w:ascii="Times New Roman" w:hAnsi="Times New Roman" w:cs="Times New Roman"/>
                <w:sz w:val="24"/>
                <w:szCs w:val="24"/>
              </w:rPr>
            </w:pPr>
            <w:r>
              <w:rPr>
                <w:rFonts w:hint="eastAsia" w:ascii="Times New Roman" w:hAnsi="Times New Roman" w:cs="Times New Roman"/>
                <w:sz w:val="24"/>
                <w:szCs w:val="24"/>
              </w:rPr>
              <w:t>11</w:t>
            </w:r>
          </w:p>
        </w:tc>
        <w:tc>
          <w:tcPr>
            <w:tcW w:w="1701" w:type="dxa"/>
            <w:vAlign w:val="center"/>
          </w:tcPr>
          <w:p w14:paraId="7899600E">
            <w:pPr>
              <w:widowControl/>
              <w:jc w:val="center"/>
              <w:rPr>
                <w:rFonts w:ascii="Times New Roman" w:hAnsi="Times New Roman" w:cs="Times New Roman"/>
                <w:sz w:val="24"/>
                <w:szCs w:val="24"/>
              </w:rPr>
            </w:pPr>
            <w:r>
              <w:rPr>
                <w:rFonts w:hint="eastAsia" w:ascii="Times New Roman" w:hAnsi="Times New Roman" w:cs="Times New Roman"/>
                <w:sz w:val="24"/>
                <w:szCs w:val="24"/>
              </w:rPr>
              <w:t>鹿马桥镇</w:t>
            </w:r>
          </w:p>
        </w:tc>
        <w:tc>
          <w:tcPr>
            <w:tcW w:w="1559" w:type="dxa"/>
            <w:vAlign w:val="center"/>
          </w:tcPr>
          <w:p w14:paraId="44227918">
            <w:pPr>
              <w:widowControl/>
              <w:jc w:val="center"/>
              <w:rPr>
                <w:rFonts w:ascii="Times New Roman" w:hAnsi="Times New Roman" w:cs="Times New Roman"/>
                <w:sz w:val="24"/>
                <w:szCs w:val="24"/>
              </w:rPr>
            </w:pPr>
            <w:r>
              <w:rPr>
                <w:rFonts w:hint="eastAsia" w:ascii="Times New Roman" w:hAnsi="Times New Roman" w:cs="Times New Roman"/>
                <w:sz w:val="24"/>
                <w:szCs w:val="24"/>
              </w:rPr>
              <w:t>152.03</w:t>
            </w:r>
          </w:p>
        </w:tc>
        <w:tc>
          <w:tcPr>
            <w:tcW w:w="2222" w:type="dxa"/>
            <w:vAlign w:val="center"/>
          </w:tcPr>
          <w:p w14:paraId="683BCDAD">
            <w:pPr>
              <w:widowControl/>
              <w:jc w:val="center"/>
              <w:rPr>
                <w:rFonts w:ascii="Times New Roman" w:hAnsi="Times New Roman" w:cs="Times New Roman"/>
                <w:sz w:val="24"/>
                <w:szCs w:val="24"/>
              </w:rPr>
            </w:pPr>
            <w:r>
              <w:rPr>
                <w:rFonts w:hint="eastAsia" w:ascii="Times New Roman" w:hAnsi="Times New Roman" w:cs="Times New Roman"/>
                <w:sz w:val="24"/>
                <w:szCs w:val="24"/>
              </w:rPr>
              <w:t>黎山居委会、伍通庙村、新村居委会、新街居委会</w:t>
            </w:r>
          </w:p>
        </w:tc>
        <w:tc>
          <w:tcPr>
            <w:tcW w:w="1606" w:type="dxa"/>
            <w:vAlign w:val="center"/>
          </w:tcPr>
          <w:p w14:paraId="36A2488A">
            <w:pPr>
              <w:widowControl/>
              <w:jc w:val="center"/>
              <w:rPr>
                <w:rFonts w:ascii="Times New Roman" w:hAnsi="Times New Roman" w:cs="Times New Roman"/>
                <w:sz w:val="24"/>
                <w:szCs w:val="24"/>
              </w:rPr>
            </w:pPr>
            <w:r>
              <w:rPr>
                <w:rFonts w:hint="eastAsia" w:ascii="Times New Roman" w:hAnsi="Times New Roman" w:cs="Times New Roman"/>
                <w:sz w:val="24"/>
                <w:szCs w:val="24"/>
              </w:rPr>
              <w:t>河东村、黄里坪村、水溪村、唐家村、天堂村、泉水农村社区、苏家岭村</w:t>
            </w:r>
          </w:p>
        </w:tc>
        <w:tc>
          <w:tcPr>
            <w:tcW w:w="2693" w:type="dxa"/>
            <w:vAlign w:val="center"/>
          </w:tcPr>
          <w:p w14:paraId="0B601437">
            <w:pPr>
              <w:widowControl/>
              <w:jc w:val="center"/>
              <w:rPr>
                <w:rFonts w:ascii="Times New Roman" w:hAnsi="Times New Roman" w:cs="Times New Roman"/>
                <w:sz w:val="24"/>
                <w:szCs w:val="24"/>
              </w:rPr>
            </w:pPr>
            <w:r>
              <w:rPr>
                <w:rFonts w:hint="eastAsia" w:ascii="Times New Roman" w:hAnsi="Times New Roman" w:cs="Times New Roman"/>
                <w:sz w:val="24"/>
                <w:szCs w:val="24"/>
              </w:rPr>
              <w:t>大宽村、黄泥洞村、简家岭村、金江村、马坪村、沙溪农村社区、石坝冲村、肖家岭村、兴隆村</w:t>
            </w:r>
          </w:p>
        </w:tc>
        <w:tc>
          <w:tcPr>
            <w:tcW w:w="1134" w:type="dxa"/>
            <w:vAlign w:val="center"/>
          </w:tcPr>
          <w:p w14:paraId="1D4D478D">
            <w:pPr>
              <w:widowControl/>
              <w:jc w:val="center"/>
              <w:rPr>
                <w:rFonts w:ascii="Times New Roman" w:hAnsi="Times New Roman" w:cs="Times New Roman"/>
                <w:sz w:val="24"/>
                <w:szCs w:val="24"/>
              </w:rPr>
            </w:pPr>
            <w:r>
              <w:rPr>
                <w:rFonts w:hint="eastAsia" w:ascii="Times New Roman" w:hAnsi="Times New Roman" w:cs="Times New Roman"/>
                <w:sz w:val="24"/>
                <w:szCs w:val="24"/>
              </w:rPr>
              <w:t>0.72</w:t>
            </w:r>
          </w:p>
        </w:tc>
        <w:tc>
          <w:tcPr>
            <w:tcW w:w="1276" w:type="dxa"/>
            <w:vAlign w:val="center"/>
          </w:tcPr>
          <w:p w14:paraId="5458A27F">
            <w:pPr>
              <w:widowControl/>
              <w:jc w:val="center"/>
              <w:rPr>
                <w:rFonts w:ascii="Times New Roman" w:hAnsi="Times New Roman" w:cs="Times New Roman"/>
                <w:sz w:val="24"/>
                <w:szCs w:val="24"/>
              </w:rPr>
            </w:pPr>
            <w:r>
              <w:rPr>
                <w:rFonts w:hint="eastAsia" w:ascii="Times New Roman" w:hAnsi="Times New Roman" w:cs="Times New Roman"/>
                <w:sz w:val="24"/>
                <w:szCs w:val="24"/>
              </w:rPr>
              <w:t>2.43</w:t>
            </w:r>
          </w:p>
        </w:tc>
        <w:tc>
          <w:tcPr>
            <w:tcW w:w="1166" w:type="dxa"/>
            <w:vAlign w:val="center"/>
          </w:tcPr>
          <w:p w14:paraId="4371A25D">
            <w:pPr>
              <w:widowControl/>
              <w:jc w:val="center"/>
              <w:rPr>
                <w:rFonts w:ascii="Times New Roman" w:hAnsi="Times New Roman" w:cs="Times New Roman"/>
                <w:sz w:val="24"/>
                <w:szCs w:val="24"/>
              </w:rPr>
            </w:pPr>
            <w:r>
              <w:rPr>
                <w:rFonts w:hint="eastAsia" w:ascii="Times New Roman" w:hAnsi="Times New Roman" w:cs="Times New Roman"/>
                <w:sz w:val="24"/>
                <w:szCs w:val="24"/>
              </w:rPr>
              <w:t>22.96</w:t>
            </w:r>
          </w:p>
        </w:tc>
      </w:tr>
      <w:tr w14:paraId="6C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5B7791F">
            <w:pPr>
              <w:widowControl/>
              <w:jc w:val="center"/>
              <w:rPr>
                <w:rFonts w:ascii="Times New Roman" w:hAnsi="Times New Roman" w:cs="Times New Roman"/>
                <w:sz w:val="24"/>
                <w:szCs w:val="24"/>
              </w:rPr>
            </w:pPr>
            <w:r>
              <w:rPr>
                <w:rFonts w:hint="eastAsia" w:ascii="Times New Roman" w:hAnsi="Times New Roman" w:cs="Times New Roman"/>
                <w:sz w:val="24"/>
                <w:szCs w:val="24"/>
              </w:rPr>
              <w:t>12</w:t>
            </w:r>
          </w:p>
        </w:tc>
        <w:tc>
          <w:tcPr>
            <w:tcW w:w="1701" w:type="dxa"/>
            <w:vAlign w:val="center"/>
          </w:tcPr>
          <w:p w14:paraId="75D5C05A">
            <w:pPr>
              <w:widowControl/>
              <w:jc w:val="center"/>
              <w:rPr>
                <w:rFonts w:ascii="Times New Roman" w:hAnsi="Times New Roman" w:cs="Times New Roman"/>
                <w:sz w:val="24"/>
                <w:szCs w:val="24"/>
              </w:rPr>
            </w:pPr>
            <w:r>
              <w:rPr>
                <w:rFonts w:hint="eastAsia" w:ascii="Times New Roman" w:hAnsi="Times New Roman" w:cs="Times New Roman"/>
                <w:sz w:val="24"/>
                <w:szCs w:val="24"/>
              </w:rPr>
              <w:t>南桥镇</w:t>
            </w:r>
          </w:p>
        </w:tc>
        <w:tc>
          <w:tcPr>
            <w:tcW w:w="1559" w:type="dxa"/>
            <w:vAlign w:val="center"/>
          </w:tcPr>
          <w:p w14:paraId="26D98F9F">
            <w:pPr>
              <w:widowControl/>
              <w:jc w:val="center"/>
              <w:rPr>
                <w:rFonts w:ascii="Times New Roman" w:hAnsi="Times New Roman" w:cs="Times New Roman"/>
                <w:sz w:val="24"/>
                <w:szCs w:val="24"/>
              </w:rPr>
            </w:pPr>
            <w:r>
              <w:rPr>
                <w:rFonts w:ascii="Times New Roman" w:hAnsi="Times New Roman" w:cs="Times New Roman"/>
                <w:sz w:val="24"/>
                <w:szCs w:val="24"/>
              </w:rPr>
              <w:t>103.72</w:t>
            </w:r>
          </w:p>
        </w:tc>
        <w:tc>
          <w:tcPr>
            <w:tcW w:w="2222" w:type="dxa"/>
            <w:vAlign w:val="center"/>
          </w:tcPr>
          <w:p w14:paraId="577B789C">
            <w:pPr>
              <w:widowControl/>
              <w:jc w:val="center"/>
              <w:rPr>
                <w:rFonts w:ascii="Times New Roman" w:hAnsi="Times New Roman" w:cs="Times New Roman"/>
                <w:sz w:val="24"/>
                <w:szCs w:val="24"/>
              </w:rPr>
            </w:pPr>
            <w:r>
              <w:rPr>
                <w:rFonts w:hint="eastAsia" w:ascii="Times New Roman" w:hAnsi="Times New Roman" w:cs="Times New Roman"/>
                <w:sz w:val="24"/>
                <w:szCs w:val="24"/>
              </w:rPr>
              <w:t>铁宝居委会</w:t>
            </w:r>
          </w:p>
        </w:tc>
        <w:tc>
          <w:tcPr>
            <w:tcW w:w="1606" w:type="dxa"/>
            <w:vAlign w:val="center"/>
          </w:tcPr>
          <w:p w14:paraId="1EAF9D6C">
            <w:pPr>
              <w:widowControl/>
              <w:jc w:val="center"/>
              <w:rPr>
                <w:rFonts w:ascii="Times New Roman" w:hAnsi="Times New Roman" w:cs="Times New Roman"/>
                <w:sz w:val="24"/>
                <w:szCs w:val="24"/>
              </w:rPr>
            </w:pPr>
            <w:r>
              <w:rPr>
                <w:rFonts w:hint="eastAsia" w:ascii="Times New Roman" w:hAnsi="Times New Roman" w:cs="Times New Roman"/>
                <w:sz w:val="24"/>
                <w:szCs w:val="24"/>
              </w:rPr>
              <w:t>大富村、</w:t>
            </w:r>
            <w:r>
              <w:rPr>
                <w:rFonts w:ascii="Times New Roman" w:hAnsi="Times New Roman" w:cs="Times New Roman"/>
                <w:sz w:val="24"/>
                <w:szCs w:val="24"/>
              </w:rPr>
              <w:t>大石塘村、</w:t>
            </w:r>
            <w:r>
              <w:rPr>
                <w:rFonts w:hint="eastAsia" w:ascii="Times New Roman" w:hAnsi="Times New Roman" w:cs="Times New Roman"/>
                <w:sz w:val="24"/>
                <w:szCs w:val="24"/>
              </w:rPr>
              <w:t>大水农村社区、戈塘村、荷叶村、花竹村、集中村、荆塘村、兰头村、坪阳冲村、新竹村、岩门村、云霞山村、南桥居委会</w:t>
            </w:r>
            <w:r>
              <w:rPr>
                <w:rFonts w:ascii="Times New Roman" w:hAnsi="Times New Roman" w:cs="Times New Roman"/>
                <w:sz w:val="24"/>
                <w:szCs w:val="24"/>
              </w:rPr>
              <w:t>、寺门马皇村</w:t>
            </w:r>
          </w:p>
        </w:tc>
        <w:tc>
          <w:tcPr>
            <w:tcW w:w="2693" w:type="dxa"/>
            <w:vAlign w:val="center"/>
          </w:tcPr>
          <w:p w14:paraId="0E881368">
            <w:pPr>
              <w:widowControl/>
              <w:jc w:val="center"/>
              <w:rPr>
                <w:rFonts w:ascii="Times New Roman" w:hAnsi="Times New Roman" w:cs="Times New Roman"/>
                <w:sz w:val="24"/>
                <w:szCs w:val="24"/>
              </w:rPr>
            </w:pPr>
            <w:r>
              <w:rPr>
                <w:rFonts w:ascii="Times New Roman" w:hAnsi="Times New Roman" w:cs="Times New Roman"/>
                <w:sz w:val="24"/>
                <w:szCs w:val="24"/>
              </w:rPr>
              <w:t>曹木村、杉木村、双江清水村</w:t>
            </w:r>
          </w:p>
        </w:tc>
        <w:tc>
          <w:tcPr>
            <w:tcW w:w="1134" w:type="dxa"/>
            <w:vAlign w:val="center"/>
          </w:tcPr>
          <w:p w14:paraId="473EEDE2">
            <w:pPr>
              <w:widowControl/>
              <w:jc w:val="center"/>
              <w:rPr>
                <w:rFonts w:ascii="Times New Roman" w:hAnsi="Times New Roman" w:cs="Times New Roman"/>
                <w:sz w:val="24"/>
                <w:szCs w:val="24"/>
              </w:rPr>
            </w:pPr>
            <w:r>
              <w:rPr>
                <w:rFonts w:hint="eastAsia" w:ascii="Times New Roman" w:hAnsi="Times New Roman" w:cs="Times New Roman"/>
                <w:sz w:val="24"/>
                <w:szCs w:val="24"/>
              </w:rPr>
              <w:t>1.53</w:t>
            </w:r>
          </w:p>
        </w:tc>
        <w:tc>
          <w:tcPr>
            <w:tcW w:w="1276" w:type="dxa"/>
            <w:vAlign w:val="center"/>
          </w:tcPr>
          <w:p w14:paraId="5823FC95">
            <w:pPr>
              <w:widowControl/>
              <w:jc w:val="center"/>
              <w:rPr>
                <w:rFonts w:ascii="Times New Roman" w:hAnsi="Times New Roman" w:cs="Times New Roman"/>
                <w:sz w:val="24"/>
                <w:szCs w:val="24"/>
              </w:rPr>
            </w:pPr>
            <w:r>
              <w:rPr>
                <w:rFonts w:hint="eastAsia" w:ascii="Times New Roman" w:hAnsi="Times New Roman" w:cs="Times New Roman"/>
                <w:sz w:val="24"/>
                <w:szCs w:val="24"/>
              </w:rPr>
              <w:t>1.94</w:t>
            </w:r>
          </w:p>
        </w:tc>
        <w:tc>
          <w:tcPr>
            <w:tcW w:w="1166" w:type="dxa"/>
            <w:vAlign w:val="center"/>
          </w:tcPr>
          <w:p w14:paraId="29D9E2D3">
            <w:pPr>
              <w:widowControl/>
              <w:jc w:val="center"/>
              <w:rPr>
                <w:rFonts w:ascii="Times New Roman" w:hAnsi="Times New Roman" w:cs="Times New Roman"/>
                <w:sz w:val="24"/>
                <w:szCs w:val="24"/>
              </w:rPr>
            </w:pPr>
            <w:r>
              <w:rPr>
                <w:rFonts w:hint="eastAsia" w:ascii="Times New Roman" w:hAnsi="Times New Roman" w:cs="Times New Roman"/>
                <w:sz w:val="24"/>
                <w:szCs w:val="24"/>
              </w:rPr>
              <w:t>44.03</w:t>
            </w:r>
          </w:p>
        </w:tc>
      </w:tr>
      <w:tr w14:paraId="33B0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254AF7F">
            <w:pPr>
              <w:widowControl/>
              <w:jc w:val="center"/>
              <w:rPr>
                <w:rFonts w:ascii="Times New Roman" w:hAnsi="Times New Roman" w:cs="Times New Roman"/>
                <w:sz w:val="24"/>
                <w:szCs w:val="24"/>
              </w:rPr>
            </w:pPr>
            <w:r>
              <w:rPr>
                <w:rFonts w:hint="eastAsia" w:ascii="Times New Roman" w:hAnsi="Times New Roman" w:cs="Times New Roman"/>
                <w:sz w:val="24"/>
                <w:szCs w:val="24"/>
              </w:rPr>
              <w:t>13</w:t>
            </w:r>
          </w:p>
        </w:tc>
        <w:tc>
          <w:tcPr>
            <w:tcW w:w="1701" w:type="dxa"/>
            <w:vAlign w:val="center"/>
          </w:tcPr>
          <w:p w14:paraId="733F1B45">
            <w:pPr>
              <w:widowControl/>
              <w:jc w:val="center"/>
              <w:rPr>
                <w:rFonts w:ascii="Times New Roman" w:hAnsi="Times New Roman" w:cs="Times New Roman"/>
                <w:sz w:val="24"/>
                <w:szCs w:val="24"/>
              </w:rPr>
            </w:pPr>
            <w:r>
              <w:rPr>
                <w:rFonts w:hint="eastAsia" w:ascii="Times New Roman" w:hAnsi="Times New Roman" w:cs="Times New Roman"/>
                <w:sz w:val="24"/>
                <w:szCs w:val="24"/>
              </w:rPr>
              <w:t>石期市镇</w:t>
            </w:r>
          </w:p>
        </w:tc>
        <w:tc>
          <w:tcPr>
            <w:tcW w:w="1559" w:type="dxa"/>
            <w:vAlign w:val="center"/>
          </w:tcPr>
          <w:p w14:paraId="79587CDB">
            <w:pPr>
              <w:widowControl/>
              <w:jc w:val="center"/>
              <w:rPr>
                <w:rFonts w:ascii="Times New Roman" w:hAnsi="Times New Roman" w:cs="Times New Roman"/>
                <w:sz w:val="24"/>
                <w:szCs w:val="24"/>
              </w:rPr>
            </w:pPr>
            <w:r>
              <w:rPr>
                <w:rFonts w:ascii="Times New Roman" w:hAnsi="Times New Roman" w:cs="Times New Roman"/>
                <w:sz w:val="24"/>
                <w:szCs w:val="24"/>
              </w:rPr>
              <w:t>122.42</w:t>
            </w:r>
          </w:p>
        </w:tc>
        <w:tc>
          <w:tcPr>
            <w:tcW w:w="2222" w:type="dxa"/>
            <w:vAlign w:val="center"/>
          </w:tcPr>
          <w:p w14:paraId="0D0E5EA2">
            <w:pPr>
              <w:widowControl/>
              <w:jc w:val="center"/>
              <w:rPr>
                <w:rFonts w:ascii="Times New Roman" w:hAnsi="Times New Roman" w:cs="Times New Roman"/>
                <w:sz w:val="24"/>
                <w:szCs w:val="24"/>
              </w:rPr>
            </w:pPr>
            <w:r>
              <w:rPr>
                <w:rFonts w:hint="eastAsia" w:ascii="Times New Roman" w:hAnsi="Times New Roman" w:cs="Times New Roman"/>
                <w:sz w:val="24"/>
                <w:szCs w:val="24"/>
              </w:rPr>
              <w:t>双杨村、洪井村、竹洲村、石马村、毛家村、大启村、建河村、台凡村、马头村、晓埠塘村、解放路居委会、胜利路居委会、民主路居委会</w:t>
            </w:r>
          </w:p>
        </w:tc>
        <w:tc>
          <w:tcPr>
            <w:tcW w:w="1606" w:type="dxa"/>
            <w:vAlign w:val="center"/>
          </w:tcPr>
          <w:p w14:paraId="5888B769">
            <w:pPr>
              <w:widowControl/>
              <w:ind w:firstLine="220" w:firstLineChars="100"/>
              <w:jc w:val="center"/>
              <w:rPr>
                <w:rFonts w:ascii="Times New Roman" w:hAnsi="Times New Roman" w:cs="Times New Roman"/>
                <w:sz w:val="24"/>
                <w:szCs w:val="24"/>
              </w:rPr>
            </w:pPr>
            <w:r>
              <w:rPr>
                <w:rFonts w:hint="eastAsia"/>
                <w:sz w:val="22"/>
              </w:rPr>
              <w:t>五一村、石市村、蒋家村、元古村</w:t>
            </w:r>
          </w:p>
        </w:tc>
        <w:tc>
          <w:tcPr>
            <w:tcW w:w="2693" w:type="dxa"/>
            <w:vAlign w:val="center"/>
          </w:tcPr>
          <w:p w14:paraId="260ED668">
            <w:pPr>
              <w:widowControl/>
              <w:jc w:val="center"/>
              <w:rPr>
                <w:rFonts w:ascii="Times New Roman" w:hAnsi="Times New Roman" w:cs="Times New Roman"/>
                <w:sz w:val="24"/>
                <w:szCs w:val="24"/>
              </w:rPr>
            </w:pPr>
            <w:r>
              <w:rPr>
                <w:rFonts w:hint="eastAsia" w:ascii="Times New Roman" w:hAnsi="Times New Roman" w:cs="Times New Roman"/>
                <w:sz w:val="24"/>
                <w:szCs w:val="24"/>
              </w:rPr>
              <w:t>新华村、天龙村、大荣底村、新合村、谭霞塘村</w:t>
            </w:r>
          </w:p>
        </w:tc>
        <w:tc>
          <w:tcPr>
            <w:tcW w:w="1134" w:type="dxa"/>
            <w:vAlign w:val="center"/>
          </w:tcPr>
          <w:p w14:paraId="497414F0">
            <w:pPr>
              <w:widowControl/>
              <w:jc w:val="center"/>
              <w:rPr>
                <w:rFonts w:ascii="Times New Roman" w:hAnsi="Times New Roman" w:cs="Times New Roman"/>
                <w:sz w:val="24"/>
                <w:szCs w:val="24"/>
              </w:rPr>
            </w:pPr>
            <w:r>
              <w:rPr>
                <w:rFonts w:hint="eastAsia" w:ascii="Times New Roman" w:hAnsi="Times New Roman" w:cs="Times New Roman"/>
                <w:sz w:val="24"/>
                <w:szCs w:val="24"/>
              </w:rPr>
              <w:t>3.27</w:t>
            </w:r>
          </w:p>
        </w:tc>
        <w:tc>
          <w:tcPr>
            <w:tcW w:w="1276" w:type="dxa"/>
            <w:vAlign w:val="center"/>
          </w:tcPr>
          <w:p w14:paraId="76AF7DEE">
            <w:pPr>
              <w:widowControl/>
              <w:jc w:val="center"/>
              <w:rPr>
                <w:rFonts w:ascii="Times New Roman" w:hAnsi="Times New Roman" w:cs="Times New Roman"/>
                <w:sz w:val="24"/>
                <w:szCs w:val="24"/>
              </w:rPr>
            </w:pPr>
            <w:r>
              <w:rPr>
                <w:rFonts w:hint="eastAsia" w:ascii="Times New Roman" w:hAnsi="Times New Roman" w:cs="Times New Roman"/>
                <w:sz w:val="24"/>
                <w:szCs w:val="24"/>
              </w:rPr>
              <w:t>1.73</w:t>
            </w:r>
          </w:p>
        </w:tc>
        <w:tc>
          <w:tcPr>
            <w:tcW w:w="1166" w:type="dxa"/>
            <w:vAlign w:val="center"/>
          </w:tcPr>
          <w:p w14:paraId="32D0705B">
            <w:pPr>
              <w:widowControl/>
              <w:jc w:val="center"/>
              <w:rPr>
                <w:rFonts w:ascii="Times New Roman" w:hAnsi="Times New Roman" w:cs="Times New Roman"/>
                <w:sz w:val="24"/>
                <w:szCs w:val="24"/>
              </w:rPr>
            </w:pPr>
            <w:r>
              <w:rPr>
                <w:rFonts w:hint="eastAsia" w:ascii="Times New Roman" w:hAnsi="Times New Roman" w:cs="Times New Roman"/>
                <w:sz w:val="24"/>
                <w:szCs w:val="24"/>
              </w:rPr>
              <w:t>64.19</w:t>
            </w:r>
          </w:p>
        </w:tc>
      </w:tr>
      <w:tr w14:paraId="77A4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41F69ED">
            <w:pPr>
              <w:widowControl/>
              <w:jc w:val="center"/>
              <w:rPr>
                <w:rFonts w:ascii="Times New Roman" w:hAnsi="Times New Roman" w:cs="Times New Roman"/>
                <w:sz w:val="24"/>
                <w:szCs w:val="24"/>
              </w:rPr>
            </w:pPr>
            <w:r>
              <w:rPr>
                <w:rFonts w:hint="eastAsia" w:ascii="Times New Roman" w:hAnsi="Times New Roman" w:cs="Times New Roman"/>
                <w:sz w:val="24"/>
                <w:szCs w:val="24"/>
              </w:rPr>
              <w:t>14</w:t>
            </w:r>
          </w:p>
        </w:tc>
        <w:tc>
          <w:tcPr>
            <w:tcW w:w="1701" w:type="dxa"/>
            <w:vAlign w:val="center"/>
          </w:tcPr>
          <w:p w14:paraId="26748B0E">
            <w:pPr>
              <w:widowControl/>
              <w:jc w:val="center"/>
              <w:rPr>
                <w:rFonts w:ascii="Times New Roman" w:hAnsi="Times New Roman" w:cs="Times New Roman"/>
                <w:sz w:val="24"/>
                <w:szCs w:val="24"/>
              </w:rPr>
            </w:pPr>
            <w:r>
              <w:rPr>
                <w:rFonts w:hint="eastAsia" w:ascii="Times New Roman" w:hAnsi="Times New Roman" w:cs="Times New Roman"/>
                <w:sz w:val="24"/>
                <w:szCs w:val="24"/>
              </w:rPr>
              <w:t>水岭乡</w:t>
            </w:r>
          </w:p>
        </w:tc>
        <w:tc>
          <w:tcPr>
            <w:tcW w:w="1559" w:type="dxa"/>
            <w:vAlign w:val="center"/>
          </w:tcPr>
          <w:p w14:paraId="5481DF14">
            <w:pPr>
              <w:widowControl/>
              <w:jc w:val="center"/>
              <w:rPr>
                <w:rFonts w:ascii="Times New Roman" w:hAnsi="Times New Roman" w:cs="Times New Roman"/>
                <w:sz w:val="24"/>
                <w:szCs w:val="24"/>
              </w:rPr>
            </w:pPr>
            <w:r>
              <w:rPr>
                <w:rFonts w:ascii="Times New Roman" w:hAnsi="Times New Roman" w:cs="Times New Roman"/>
                <w:sz w:val="24"/>
                <w:szCs w:val="24"/>
              </w:rPr>
              <w:t>59.9</w:t>
            </w:r>
          </w:p>
        </w:tc>
        <w:tc>
          <w:tcPr>
            <w:tcW w:w="2222" w:type="dxa"/>
            <w:vAlign w:val="center"/>
          </w:tcPr>
          <w:p w14:paraId="473BE0AE">
            <w:pPr>
              <w:widowControl/>
              <w:jc w:val="center"/>
              <w:rPr>
                <w:rFonts w:ascii="Times New Roman" w:hAnsi="Times New Roman" w:cs="Times New Roman"/>
                <w:sz w:val="24"/>
                <w:szCs w:val="24"/>
              </w:rPr>
            </w:pPr>
            <w:r>
              <w:rPr>
                <w:rFonts w:hint="eastAsia" w:ascii="Times New Roman" w:hAnsi="Times New Roman" w:cs="Times New Roman"/>
                <w:sz w:val="24"/>
                <w:szCs w:val="24"/>
              </w:rPr>
              <w:t>无</w:t>
            </w:r>
          </w:p>
        </w:tc>
        <w:tc>
          <w:tcPr>
            <w:tcW w:w="1606" w:type="dxa"/>
            <w:vAlign w:val="center"/>
          </w:tcPr>
          <w:p w14:paraId="76576736">
            <w:pPr>
              <w:widowControl/>
              <w:jc w:val="center"/>
              <w:rPr>
                <w:rFonts w:ascii="Times New Roman" w:hAnsi="Times New Roman" w:cs="Times New Roman"/>
                <w:sz w:val="24"/>
                <w:szCs w:val="24"/>
              </w:rPr>
            </w:pPr>
            <w:r>
              <w:rPr>
                <w:rFonts w:ascii="Times New Roman" w:hAnsi="Times New Roman" w:cs="Times New Roman"/>
                <w:sz w:val="24"/>
                <w:szCs w:val="24"/>
              </w:rPr>
              <w:t>冷山村、</w:t>
            </w:r>
            <w:r>
              <w:rPr>
                <w:rFonts w:hint="eastAsia" w:ascii="Times New Roman" w:hAnsi="Times New Roman" w:cs="Times New Roman"/>
                <w:sz w:val="24"/>
                <w:szCs w:val="24"/>
              </w:rPr>
              <w:t>枧田村、</w:t>
            </w:r>
            <w:r>
              <w:rPr>
                <w:rFonts w:ascii="Times New Roman" w:hAnsi="Times New Roman" w:cs="Times New Roman"/>
                <w:sz w:val="24"/>
                <w:szCs w:val="24"/>
              </w:rPr>
              <w:t>三合村、新铺村</w:t>
            </w:r>
          </w:p>
        </w:tc>
        <w:tc>
          <w:tcPr>
            <w:tcW w:w="2693" w:type="dxa"/>
            <w:vAlign w:val="center"/>
          </w:tcPr>
          <w:p w14:paraId="5649C971">
            <w:pPr>
              <w:widowControl/>
              <w:jc w:val="center"/>
              <w:rPr>
                <w:rFonts w:ascii="Times New Roman" w:hAnsi="Times New Roman" w:cs="Times New Roman"/>
                <w:sz w:val="24"/>
                <w:szCs w:val="24"/>
              </w:rPr>
            </w:pPr>
            <w:r>
              <w:rPr>
                <w:rFonts w:hint="eastAsia" w:ascii="Times New Roman" w:hAnsi="Times New Roman" w:cs="Times New Roman"/>
                <w:sz w:val="24"/>
                <w:szCs w:val="24"/>
              </w:rPr>
              <w:t>水岭村、吊牛坪村、金岭村、下丰村、燕桂村</w:t>
            </w:r>
          </w:p>
        </w:tc>
        <w:tc>
          <w:tcPr>
            <w:tcW w:w="1134" w:type="dxa"/>
            <w:vAlign w:val="center"/>
          </w:tcPr>
          <w:p w14:paraId="5265A167">
            <w:pPr>
              <w:widowControl/>
              <w:jc w:val="center"/>
              <w:rPr>
                <w:rFonts w:ascii="Times New Roman" w:hAnsi="Times New Roman" w:cs="Times New Roman"/>
                <w:sz w:val="24"/>
                <w:szCs w:val="24"/>
              </w:rPr>
            </w:pPr>
            <w:r>
              <w:rPr>
                <w:rFonts w:hint="eastAsia" w:ascii="Times New Roman" w:hAnsi="Times New Roman" w:cs="Times New Roman"/>
                <w:sz w:val="24"/>
                <w:szCs w:val="24"/>
              </w:rPr>
              <w:t>0.55</w:t>
            </w:r>
          </w:p>
        </w:tc>
        <w:tc>
          <w:tcPr>
            <w:tcW w:w="1276" w:type="dxa"/>
            <w:vAlign w:val="center"/>
          </w:tcPr>
          <w:p w14:paraId="50FD3567">
            <w:pPr>
              <w:widowControl/>
              <w:jc w:val="center"/>
              <w:rPr>
                <w:rFonts w:ascii="Times New Roman" w:hAnsi="Times New Roman" w:cs="Times New Roman"/>
                <w:sz w:val="24"/>
                <w:szCs w:val="24"/>
              </w:rPr>
            </w:pPr>
            <w:r>
              <w:rPr>
                <w:rFonts w:hint="eastAsia" w:ascii="Times New Roman" w:hAnsi="Times New Roman" w:cs="Times New Roman"/>
                <w:sz w:val="24"/>
                <w:szCs w:val="24"/>
              </w:rPr>
              <w:t>1.7</w:t>
            </w:r>
          </w:p>
        </w:tc>
        <w:tc>
          <w:tcPr>
            <w:tcW w:w="1166" w:type="dxa"/>
            <w:vAlign w:val="center"/>
          </w:tcPr>
          <w:p w14:paraId="72AAF42F">
            <w:pPr>
              <w:widowControl/>
              <w:jc w:val="center"/>
              <w:rPr>
                <w:rFonts w:ascii="Times New Roman" w:hAnsi="Times New Roman" w:cs="Times New Roman"/>
                <w:sz w:val="24"/>
                <w:szCs w:val="24"/>
              </w:rPr>
            </w:pPr>
            <w:r>
              <w:rPr>
                <w:rFonts w:hint="eastAsia" w:ascii="Times New Roman" w:hAnsi="Times New Roman" w:cs="Times New Roman"/>
                <w:sz w:val="24"/>
                <w:szCs w:val="24"/>
              </w:rPr>
              <w:t>24.27</w:t>
            </w:r>
          </w:p>
        </w:tc>
      </w:tr>
      <w:tr w14:paraId="6DAA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D54EAEA">
            <w:pPr>
              <w:widowControl/>
              <w:jc w:val="center"/>
              <w:rPr>
                <w:rFonts w:ascii="Times New Roman" w:hAnsi="Times New Roman" w:cs="Times New Roman"/>
                <w:sz w:val="24"/>
                <w:szCs w:val="24"/>
              </w:rPr>
            </w:pPr>
            <w:r>
              <w:rPr>
                <w:rFonts w:hint="eastAsia" w:ascii="Times New Roman" w:hAnsi="Times New Roman" w:cs="Times New Roman"/>
                <w:sz w:val="24"/>
                <w:szCs w:val="24"/>
              </w:rPr>
              <w:t>15</w:t>
            </w:r>
          </w:p>
        </w:tc>
        <w:tc>
          <w:tcPr>
            <w:tcW w:w="1701" w:type="dxa"/>
            <w:vAlign w:val="center"/>
          </w:tcPr>
          <w:p w14:paraId="1C1B3588">
            <w:pPr>
              <w:widowControl/>
              <w:jc w:val="center"/>
              <w:rPr>
                <w:rFonts w:ascii="Times New Roman" w:hAnsi="Times New Roman" w:cs="Times New Roman"/>
                <w:sz w:val="24"/>
                <w:szCs w:val="24"/>
              </w:rPr>
            </w:pPr>
            <w:r>
              <w:rPr>
                <w:rFonts w:hint="eastAsia" w:ascii="Times New Roman" w:hAnsi="Times New Roman" w:cs="Times New Roman"/>
                <w:sz w:val="24"/>
                <w:szCs w:val="24"/>
              </w:rPr>
              <w:t>新圩江镇</w:t>
            </w:r>
          </w:p>
        </w:tc>
        <w:tc>
          <w:tcPr>
            <w:tcW w:w="1559" w:type="dxa"/>
            <w:vAlign w:val="center"/>
          </w:tcPr>
          <w:p w14:paraId="7D282E49">
            <w:pPr>
              <w:widowControl/>
              <w:jc w:val="center"/>
              <w:rPr>
                <w:rFonts w:ascii="Times New Roman" w:hAnsi="Times New Roman" w:cs="Times New Roman"/>
                <w:sz w:val="24"/>
                <w:szCs w:val="24"/>
              </w:rPr>
            </w:pPr>
            <w:r>
              <w:rPr>
                <w:rFonts w:ascii="Times New Roman" w:hAnsi="Times New Roman" w:cs="Times New Roman"/>
                <w:sz w:val="24"/>
                <w:szCs w:val="24"/>
              </w:rPr>
              <w:t>132.5</w:t>
            </w:r>
            <w:r>
              <w:rPr>
                <w:rFonts w:hint="eastAsia" w:ascii="Times New Roman" w:hAnsi="Times New Roman" w:cs="Times New Roman"/>
                <w:sz w:val="24"/>
                <w:szCs w:val="24"/>
              </w:rPr>
              <w:t>4</w:t>
            </w:r>
          </w:p>
        </w:tc>
        <w:tc>
          <w:tcPr>
            <w:tcW w:w="2222" w:type="dxa"/>
            <w:vAlign w:val="center"/>
          </w:tcPr>
          <w:p w14:paraId="02903D15">
            <w:pPr>
              <w:widowControl/>
              <w:jc w:val="center"/>
              <w:rPr>
                <w:rFonts w:ascii="Times New Roman" w:hAnsi="Times New Roman" w:cs="Times New Roman"/>
                <w:sz w:val="24"/>
                <w:szCs w:val="24"/>
              </w:rPr>
            </w:pPr>
            <w:r>
              <w:rPr>
                <w:rFonts w:hint="eastAsia" w:ascii="Times New Roman" w:hAnsi="Times New Roman" w:cs="Times New Roman"/>
                <w:sz w:val="24"/>
                <w:szCs w:val="24"/>
              </w:rPr>
              <w:t>芦江村、双江村、新江居委会、军山村、什田村</w:t>
            </w:r>
          </w:p>
        </w:tc>
        <w:tc>
          <w:tcPr>
            <w:tcW w:w="1606" w:type="dxa"/>
            <w:vAlign w:val="center"/>
          </w:tcPr>
          <w:p w14:paraId="2F1C80D8">
            <w:pPr>
              <w:widowControl/>
              <w:jc w:val="center"/>
              <w:rPr>
                <w:rFonts w:ascii="Times New Roman" w:hAnsi="Times New Roman" w:cs="Times New Roman"/>
                <w:sz w:val="24"/>
                <w:szCs w:val="24"/>
              </w:rPr>
            </w:pPr>
            <w:r>
              <w:rPr>
                <w:rFonts w:hint="eastAsia" w:ascii="Times New Roman" w:hAnsi="Times New Roman" w:cs="Times New Roman"/>
                <w:sz w:val="24"/>
                <w:szCs w:val="24"/>
              </w:rPr>
              <w:t>大埠头村、双庙村、柳山村、新圩居委会、中田村、竹冲村、石板头村、小田村</w:t>
            </w:r>
          </w:p>
        </w:tc>
        <w:tc>
          <w:tcPr>
            <w:tcW w:w="2693" w:type="dxa"/>
            <w:vAlign w:val="center"/>
          </w:tcPr>
          <w:p w14:paraId="31929AD4">
            <w:pPr>
              <w:widowControl/>
              <w:jc w:val="center"/>
              <w:rPr>
                <w:rFonts w:ascii="Times New Roman" w:hAnsi="Times New Roman" w:cs="Times New Roman"/>
                <w:sz w:val="24"/>
                <w:szCs w:val="24"/>
              </w:rPr>
            </w:pPr>
            <w:r>
              <w:rPr>
                <w:rFonts w:hint="eastAsia" w:ascii="Times New Roman" w:hAnsi="Times New Roman" w:cs="Times New Roman"/>
                <w:sz w:val="24"/>
                <w:szCs w:val="24"/>
              </w:rPr>
              <w:t>金浪村、田心村、大浪村</w:t>
            </w:r>
          </w:p>
        </w:tc>
        <w:tc>
          <w:tcPr>
            <w:tcW w:w="1134" w:type="dxa"/>
            <w:vAlign w:val="center"/>
          </w:tcPr>
          <w:p w14:paraId="67F84622">
            <w:pPr>
              <w:widowControl/>
              <w:jc w:val="center"/>
              <w:rPr>
                <w:rFonts w:ascii="Times New Roman" w:hAnsi="Times New Roman" w:cs="Times New Roman"/>
                <w:sz w:val="24"/>
                <w:szCs w:val="24"/>
              </w:rPr>
            </w:pPr>
            <w:r>
              <w:rPr>
                <w:rFonts w:hint="eastAsia" w:ascii="Times New Roman" w:hAnsi="Times New Roman" w:cs="Times New Roman"/>
                <w:sz w:val="24"/>
                <w:szCs w:val="24"/>
              </w:rPr>
              <w:t>1.2</w:t>
            </w:r>
          </w:p>
        </w:tc>
        <w:tc>
          <w:tcPr>
            <w:tcW w:w="1276" w:type="dxa"/>
            <w:vAlign w:val="center"/>
          </w:tcPr>
          <w:p w14:paraId="71BF8EF1">
            <w:pPr>
              <w:widowControl/>
              <w:jc w:val="center"/>
              <w:rPr>
                <w:rFonts w:ascii="Times New Roman" w:hAnsi="Times New Roman" w:cs="Times New Roman"/>
                <w:sz w:val="24"/>
                <w:szCs w:val="24"/>
              </w:rPr>
            </w:pPr>
            <w:r>
              <w:rPr>
                <w:rFonts w:hint="eastAsia" w:ascii="Times New Roman" w:hAnsi="Times New Roman" w:cs="Times New Roman"/>
                <w:sz w:val="24"/>
                <w:szCs w:val="24"/>
              </w:rPr>
              <w:t>0.61</w:t>
            </w:r>
          </w:p>
        </w:tc>
        <w:tc>
          <w:tcPr>
            <w:tcW w:w="1166" w:type="dxa"/>
            <w:vAlign w:val="center"/>
          </w:tcPr>
          <w:p w14:paraId="2B27A28E">
            <w:pPr>
              <w:widowControl/>
              <w:jc w:val="center"/>
              <w:rPr>
                <w:rFonts w:ascii="Times New Roman" w:hAnsi="Times New Roman" w:cs="Times New Roman"/>
                <w:sz w:val="24"/>
                <w:szCs w:val="24"/>
              </w:rPr>
            </w:pPr>
            <w:r>
              <w:rPr>
                <w:rFonts w:hint="eastAsia" w:ascii="Times New Roman" w:hAnsi="Times New Roman" w:cs="Times New Roman"/>
                <w:sz w:val="24"/>
                <w:szCs w:val="24"/>
              </w:rPr>
              <w:t>66.07</w:t>
            </w:r>
          </w:p>
        </w:tc>
      </w:tr>
      <w:tr w14:paraId="2F7E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4344FF8">
            <w:pPr>
              <w:widowControl/>
              <w:jc w:val="center"/>
              <w:rPr>
                <w:rFonts w:ascii="Times New Roman" w:hAnsi="Times New Roman" w:cs="Times New Roman"/>
                <w:sz w:val="24"/>
                <w:szCs w:val="24"/>
              </w:rPr>
            </w:pPr>
            <w:r>
              <w:rPr>
                <w:rFonts w:hint="eastAsia" w:ascii="Times New Roman" w:hAnsi="Times New Roman" w:cs="Times New Roman"/>
                <w:sz w:val="24"/>
                <w:szCs w:val="24"/>
              </w:rPr>
              <w:t>16</w:t>
            </w:r>
          </w:p>
        </w:tc>
        <w:tc>
          <w:tcPr>
            <w:tcW w:w="1701" w:type="dxa"/>
            <w:vAlign w:val="center"/>
          </w:tcPr>
          <w:p w14:paraId="686449A2">
            <w:pPr>
              <w:widowControl/>
              <w:jc w:val="center"/>
              <w:rPr>
                <w:rFonts w:ascii="Times New Roman" w:hAnsi="Times New Roman" w:cs="Times New Roman"/>
                <w:sz w:val="24"/>
                <w:szCs w:val="24"/>
              </w:rPr>
            </w:pPr>
            <w:r>
              <w:rPr>
                <w:rFonts w:hint="eastAsia" w:ascii="Times New Roman" w:hAnsi="Times New Roman" w:cs="Times New Roman"/>
                <w:sz w:val="24"/>
                <w:szCs w:val="24"/>
              </w:rPr>
              <w:t>紫溪市镇</w:t>
            </w:r>
          </w:p>
        </w:tc>
        <w:tc>
          <w:tcPr>
            <w:tcW w:w="1559" w:type="dxa"/>
            <w:vAlign w:val="center"/>
          </w:tcPr>
          <w:p w14:paraId="0CDB394D">
            <w:pPr>
              <w:widowControl/>
              <w:jc w:val="center"/>
              <w:rPr>
                <w:rFonts w:ascii="Times New Roman" w:hAnsi="Times New Roman" w:cs="Times New Roman"/>
                <w:sz w:val="24"/>
                <w:szCs w:val="24"/>
              </w:rPr>
            </w:pPr>
            <w:r>
              <w:rPr>
                <w:rFonts w:ascii="Times New Roman" w:hAnsi="Times New Roman" w:cs="Times New Roman"/>
                <w:sz w:val="24"/>
                <w:szCs w:val="24"/>
              </w:rPr>
              <w:t>170.78</w:t>
            </w:r>
          </w:p>
        </w:tc>
        <w:tc>
          <w:tcPr>
            <w:tcW w:w="2222" w:type="dxa"/>
            <w:vAlign w:val="center"/>
          </w:tcPr>
          <w:p w14:paraId="4B153FA0">
            <w:pPr>
              <w:widowControl/>
              <w:jc w:val="center"/>
              <w:rPr>
                <w:rFonts w:ascii="Times New Roman" w:hAnsi="Times New Roman" w:cs="Times New Roman"/>
                <w:sz w:val="24"/>
                <w:szCs w:val="24"/>
              </w:rPr>
            </w:pPr>
            <w:r>
              <w:rPr>
                <w:rFonts w:hint="eastAsia" w:ascii="Times New Roman" w:hAnsi="Times New Roman" w:cs="Times New Roman"/>
                <w:sz w:val="24"/>
                <w:szCs w:val="24"/>
              </w:rPr>
              <w:t>紫溪村、乐园村、建设村、五里牌村、六里桥村、东正街居委会、下河街居委会、唐公街居委会、向阳街居委会</w:t>
            </w:r>
          </w:p>
        </w:tc>
        <w:tc>
          <w:tcPr>
            <w:tcW w:w="1606" w:type="dxa"/>
            <w:vAlign w:val="center"/>
          </w:tcPr>
          <w:p w14:paraId="178264FD">
            <w:pPr>
              <w:widowControl/>
              <w:jc w:val="center"/>
              <w:rPr>
                <w:sz w:val="22"/>
              </w:rPr>
            </w:pPr>
            <w:r>
              <w:rPr>
                <w:rFonts w:ascii="Times New Roman" w:hAnsi="Times New Roman" w:cs="Times New Roman"/>
                <w:sz w:val="24"/>
                <w:szCs w:val="24"/>
              </w:rPr>
              <w:t>群丰村、群力村、五一村、五星村、湘龙村、伍家湾村、八复村、百花村、渌埠头村、调元村、大源村、中心村、荷叶塘村、花桥村</w:t>
            </w:r>
          </w:p>
        </w:tc>
        <w:tc>
          <w:tcPr>
            <w:tcW w:w="2693" w:type="dxa"/>
            <w:vAlign w:val="center"/>
          </w:tcPr>
          <w:p w14:paraId="33147A9C">
            <w:pPr>
              <w:widowControl/>
              <w:jc w:val="center"/>
              <w:rPr>
                <w:rFonts w:ascii="Times New Roman" w:hAnsi="Times New Roman" w:cs="Times New Roman"/>
                <w:sz w:val="24"/>
                <w:szCs w:val="24"/>
              </w:rPr>
            </w:pPr>
            <w:r>
              <w:rPr>
                <w:rFonts w:ascii="Times New Roman" w:hAnsi="Times New Roman" w:cs="Times New Roman"/>
                <w:sz w:val="24"/>
                <w:szCs w:val="24"/>
              </w:rPr>
              <w:t>南庄村、高岩村、塘复村、花街村</w:t>
            </w:r>
          </w:p>
        </w:tc>
        <w:tc>
          <w:tcPr>
            <w:tcW w:w="1134" w:type="dxa"/>
            <w:vAlign w:val="center"/>
          </w:tcPr>
          <w:p w14:paraId="40A5BF20">
            <w:pPr>
              <w:widowControl/>
              <w:jc w:val="center"/>
              <w:rPr>
                <w:rFonts w:ascii="Times New Roman" w:hAnsi="Times New Roman" w:cs="Times New Roman"/>
                <w:sz w:val="24"/>
                <w:szCs w:val="24"/>
              </w:rPr>
            </w:pPr>
            <w:r>
              <w:rPr>
                <w:rFonts w:hint="eastAsia" w:ascii="Times New Roman" w:hAnsi="Times New Roman" w:cs="Times New Roman"/>
                <w:sz w:val="24"/>
                <w:szCs w:val="24"/>
              </w:rPr>
              <w:t>2.63</w:t>
            </w:r>
          </w:p>
        </w:tc>
        <w:tc>
          <w:tcPr>
            <w:tcW w:w="1276" w:type="dxa"/>
            <w:vAlign w:val="center"/>
          </w:tcPr>
          <w:p w14:paraId="173D79B9">
            <w:pPr>
              <w:widowControl/>
              <w:jc w:val="center"/>
              <w:rPr>
                <w:rFonts w:ascii="Times New Roman" w:hAnsi="Times New Roman" w:cs="Times New Roman"/>
                <w:sz w:val="24"/>
                <w:szCs w:val="24"/>
              </w:rPr>
            </w:pPr>
            <w:r>
              <w:rPr>
                <w:rFonts w:hint="eastAsia" w:ascii="Times New Roman" w:hAnsi="Times New Roman" w:cs="Times New Roman"/>
                <w:sz w:val="24"/>
                <w:szCs w:val="24"/>
              </w:rPr>
              <w:t>2.24</w:t>
            </w:r>
          </w:p>
        </w:tc>
        <w:tc>
          <w:tcPr>
            <w:tcW w:w="1166" w:type="dxa"/>
            <w:vAlign w:val="center"/>
          </w:tcPr>
          <w:p w14:paraId="4C9BEA25">
            <w:pPr>
              <w:widowControl/>
              <w:jc w:val="center"/>
              <w:rPr>
                <w:rFonts w:ascii="Times New Roman" w:hAnsi="Times New Roman" w:cs="Times New Roman"/>
                <w:sz w:val="24"/>
                <w:szCs w:val="24"/>
              </w:rPr>
            </w:pPr>
            <w:r>
              <w:rPr>
                <w:rFonts w:hint="eastAsia" w:ascii="Times New Roman" w:hAnsi="Times New Roman" w:cs="Times New Roman"/>
                <w:sz w:val="24"/>
                <w:szCs w:val="24"/>
              </w:rPr>
              <w:t>54.05</w:t>
            </w:r>
          </w:p>
        </w:tc>
      </w:tr>
    </w:tbl>
    <w:p w14:paraId="63ED3183">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t>注：本次秸秆禁限烧区划定方案中的行政区面积和耕地面积以各地提供的矢量数据为依据，与实际行政区面积和耕地面积可能存在一定差异。</w:t>
      </w:r>
    </w:p>
    <w:p w14:paraId="1C8095F0">
      <w:pPr>
        <w:widowControl/>
        <w:jc w:val="left"/>
        <w:rPr>
          <w:rFonts w:ascii="Times New Roman" w:hAnsi="Times New Roman" w:cs="Times New Roman"/>
          <w:sz w:val="24"/>
          <w:szCs w:val="24"/>
        </w:rPr>
      </w:pPr>
    </w:p>
    <w:sectPr>
      <w:pgSz w:w="16838" w:h="11906" w:orient="landscape"/>
      <w:pgMar w:top="1797" w:right="1440" w:bottom="179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721C6"/>
    <w:rsid w:val="00012169"/>
    <w:rsid w:val="0006678E"/>
    <w:rsid w:val="00093EF6"/>
    <w:rsid w:val="000A2537"/>
    <w:rsid w:val="001314B1"/>
    <w:rsid w:val="00136316"/>
    <w:rsid w:val="0017065D"/>
    <w:rsid w:val="001E14D7"/>
    <w:rsid w:val="0021045A"/>
    <w:rsid w:val="002425D1"/>
    <w:rsid w:val="00293187"/>
    <w:rsid w:val="002B3CFF"/>
    <w:rsid w:val="002D2A6D"/>
    <w:rsid w:val="002D744E"/>
    <w:rsid w:val="002E718B"/>
    <w:rsid w:val="002F5403"/>
    <w:rsid w:val="00312D1C"/>
    <w:rsid w:val="003423AB"/>
    <w:rsid w:val="00347922"/>
    <w:rsid w:val="00376BB5"/>
    <w:rsid w:val="003B6F5E"/>
    <w:rsid w:val="003C3E41"/>
    <w:rsid w:val="003D7092"/>
    <w:rsid w:val="003E2733"/>
    <w:rsid w:val="00416BEE"/>
    <w:rsid w:val="0042063C"/>
    <w:rsid w:val="00447437"/>
    <w:rsid w:val="00454C05"/>
    <w:rsid w:val="00463AA5"/>
    <w:rsid w:val="004721C6"/>
    <w:rsid w:val="00474B43"/>
    <w:rsid w:val="00482B1A"/>
    <w:rsid w:val="004A34C8"/>
    <w:rsid w:val="004C6B48"/>
    <w:rsid w:val="004D42D9"/>
    <w:rsid w:val="004E4D9F"/>
    <w:rsid w:val="004E64B1"/>
    <w:rsid w:val="004F22FA"/>
    <w:rsid w:val="004F2FFE"/>
    <w:rsid w:val="005313C4"/>
    <w:rsid w:val="005D1E07"/>
    <w:rsid w:val="005F182C"/>
    <w:rsid w:val="00607D4E"/>
    <w:rsid w:val="006110DA"/>
    <w:rsid w:val="0064518C"/>
    <w:rsid w:val="00657E8B"/>
    <w:rsid w:val="00660324"/>
    <w:rsid w:val="00687DF3"/>
    <w:rsid w:val="006B2F5A"/>
    <w:rsid w:val="006C2808"/>
    <w:rsid w:val="00743AF6"/>
    <w:rsid w:val="007557BC"/>
    <w:rsid w:val="00793208"/>
    <w:rsid w:val="00793285"/>
    <w:rsid w:val="007C7455"/>
    <w:rsid w:val="007F0C4A"/>
    <w:rsid w:val="0080472D"/>
    <w:rsid w:val="00863BCB"/>
    <w:rsid w:val="008A167B"/>
    <w:rsid w:val="008B3FEF"/>
    <w:rsid w:val="008E6C6F"/>
    <w:rsid w:val="009056C4"/>
    <w:rsid w:val="009249A2"/>
    <w:rsid w:val="00954ACA"/>
    <w:rsid w:val="00967DF9"/>
    <w:rsid w:val="009777D3"/>
    <w:rsid w:val="00991776"/>
    <w:rsid w:val="00996714"/>
    <w:rsid w:val="009C1045"/>
    <w:rsid w:val="009E73C1"/>
    <w:rsid w:val="009F62BD"/>
    <w:rsid w:val="00A21A01"/>
    <w:rsid w:val="00A31D03"/>
    <w:rsid w:val="00AE11C1"/>
    <w:rsid w:val="00AE7033"/>
    <w:rsid w:val="00B20B73"/>
    <w:rsid w:val="00B75197"/>
    <w:rsid w:val="00B76DCC"/>
    <w:rsid w:val="00B8782C"/>
    <w:rsid w:val="00BB17E9"/>
    <w:rsid w:val="00BE1ED4"/>
    <w:rsid w:val="00BE78D6"/>
    <w:rsid w:val="00BF58DA"/>
    <w:rsid w:val="00C34030"/>
    <w:rsid w:val="00C77F70"/>
    <w:rsid w:val="00C81D14"/>
    <w:rsid w:val="00CD3956"/>
    <w:rsid w:val="00CF77E4"/>
    <w:rsid w:val="00D10046"/>
    <w:rsid w:val="00D22BF7"/>
    <w:rsid w:val="00D35F1F"/>
    <w:rsid w:val="00D46E41"/>
    <w:rsid w:val="00D757B8"/>
    <w:rsid w:val="00D90ED2"/>
    <w:rsid w:val="00DD0C74"/>
    <w:rsid w:val="00E132ED"/>
    <w:rsid w:val="00E32CCA"/>
    <w:rsid w:val="00E44F5C"/>
    <w:rsid w:val="00E51C8D"/>
    <w:rsid w:val="00E56DCB"/>
    <w:rsid w:val="00E706BE"/>
    <w:rsid w:val="00EB68DA"/>
    <w:rsid w:val="00ED44F7"/>
    <w:rsid w:val="00EE7487"/>
    <w:rsid w:val="00F21D9C"/>
    <w:rsid w:val="00F44063"/>
    <w:rsid w:val="00F473C9"/>
    <w:rsid w:val="00F63001"/>
    <w:rsid w:val="00F70151"/>
    <w:rsid w:val="00F85B73"/>
    <w:rsid w:val="00F90259"/>
    <w:rsid w:val="00F91299"/>
    <w:rsid w:val="00FB1B21"/>
    <w:rsid w:val="5D455B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366091" w:themeColor="accent1" w:themeShade="BF"/>
      <w:sz w:val="48"/>
      <w:szCs w:val="48"/>
    </w:rPr>
  </w:style>
  <w:style w:type="paragraph" w:styleId="3">
    <w:name w:val="heading 2"/>
    <w:basedOn w:val="1"/>
    <w:next w:val="1"/>
    <w:link w:val="20"/>
    <w:unhideWhenUsed/>
    <w:qFormat/>
    <w:uiPriority w:val="9"/>
    <w:pPr>
      <w:keepNext/>
      <w:keepLines/>
      <w:spacing w:before="160" w:after="80"/>
      <w:outlineLvl w:val="1"/>
    </w:pPr>
    <w:rPr>
      <w:rFonts w:asciiTheme="majorHAnsi" w:hAnsiTheme="majorHAnsi" w:eastAsiaTheme="majorEastAsia" w:cstheme="majorBidi"/>
      <w:color w:val="366091"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366091"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366091"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366091" w:themeColor="accent1" w:themeShade="BF"/>
      <w:sz w:val="24"/>
      <w:szCs w:val="24"/>
    </w:rPr>
  </w:style>
  <w:style w:type="paragraph" w:styleId="7">
    <w:name w:val="heading 6"/>
    <w:basedOn w:val="1"/>
    <w:next w:val="1"/>
    <w:link w:val="24"/>
    <w:semiHidden/>
    <w:unhideWhenUsed/>
    <w:qFormat/>
    <w:uiPriority w:val="9"/>
    <w:pPr>
      <w:keepNext/>
      <w:keepLines/>
      <w:spacing w:before="40"/>
      <w:outlineLvl w:val="5"/>
    </w:pPr>
    <w:rPr>
      <w:rFonts w:cstheme="majorBidi"/>
      <w:b/>
      <w:bCs/>
      <w:color w:val="366091" w:themeColor="accent1" w:themeShade="BF"/>
    </w:rPr>
  </w:style>
  <w:style w:type="paragraph" w:styleId="8">
    <w:name w:val="heading 7"/>
    <w:basedOn w:val="1"/>
    <w:next w:val="1"/>
    <w:link w:val="25"/>
    <w:semiHidden/>
    <w:unhideWhenUsed/>
    <w:qFormat/>
    <w:uiPriority w:val="9"/>
    <w:pPr>
      <w:keepNext/>
      <w:keepLines/>
      <w:spacing w:before="40"/>
      <w:outlineLvl w:val="6"/>
    </w:pPr>
    <w:rPr>
      <w:rFonts w:cstheme="majorBidi"/>
      <w:b/>
      <w:bCs/>
      <w:color w:val="585858" w:themeColor="text1" w:themeTint="A6"/>
    </w:rPr>
  </w:style>
  <w:style w:type="paragraph" w:styleId="9">
    <w:name w:val="heading 8"/>
    <w:basedOn w:val="1"/>
    <w:next w:val="1"/>
    <w:link w:val="26"/>
    <w:semiHidden/>
    <w:unhideWhenUsed/>
    <w:qFormat/>
    <w:uiPriority w:val="9"/>
    <w:pPr>
      <w:keepNext/>
      <w:keepLines/>
      <w:outlineLvl w:val="7"/>
    </w:pPr>
    <w:rPr>
      <w:rFonts w:cstheme="majorBidi"/>
      <w:color w:val="585858" w:themeColor="text1" w:themeTint="A6"/>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585858" w:themeColor="text1" w:themeTint="A6"/>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Balloon Text"/>
    <w:basedOn w:val="1"/>
    <w:link w:val="41"/>
    <w:semiHidden/>
    <w:unhideWhenUsed/>
    <w:qFormat/>
    <w:uiPriority w:val="99"/>
    <w:rPr>
      <w:sz w:val="18"/>
      <w:szCs w:val="18"/>
    </w:rPr>
  </w:style>
  <w:style w:type="paragraph" w:styleId="12">
    <w:name w:val="footer"/>
    <w:basedOn w:val="1"/>
    <w:link w:val="40"/>
    <w:unhideWhenUsed/>
    <w:qFormat/>
    <w:uiPriority w:val="99"/>
    <w:pPr>
      <w:tabs>
        <w:tab w:val="center" w:pos="4153"/>
        <w:tab w:val="right" w:pos="8306"/>
      </w:tabs>
      <w:snapToGrid w:val="0"/>
      <w:jc w:val="left"/>
    </w:pPr>
    <w:rPr>
      <w:sz w:val="18"/>
      <w:szCs w:val="18"/>
    </w:rPr>
  </w:style>
  <w:style w:type="paragraph" w:styleId="13">
    <w:name w:val="header"/>
    <w:basedOn w:val="1"/>
    <w:link w:val="39"/>
    <w:unhideWhenUsed/>
    <w:qFormat/>
    <w:uiPriority w:val="99"/>
    <w:pPr>
      <w:tabs>
        <w:tab w:val="center" w:pos="4153"/>
        <w:tab w:val="right" w:pos="8306"/>
      </w:tabs>
      <w:snapToGrid w:val="0"/>
      <w:jc w:val="center"/>
    </w:pPr>
    <w:rPr>
      <w:sz w:val="18"/>
      <w:szCs w:val="18"/>
    </w:rPr>
  </w:style>
  <w:style w:type="paragraph" w:styleId="14">
    <w:name w:val="Subtitle"/>
    <w:basedOn w:val="1"/>
    <w:next w:val="1"/>
    <w:link w:val="29"/>
    <w:qFormat/>
    <w:uiPriority w:val="11"/>
    <w:pPr>
      <w:spacing w:after="160"/>
      <w:jc w:val="center"/>
    </w:pPr>
    <w:rPr>
      <w:rFonts w:asciiTheme="majorHAnsi" w:hAnsiTheme="majorHAnsi" w:eastAsiaTheme="majorEastAsia" w:cstheme="majorBidi"/>
      <w:color w:val="585858" w:themeColor="text1" w:themeTint="A6"/>
      <w:spacing w:val="15"/>
      <w:sz w:val="28"/>
      <w:szCs w:val="28"/>
    </w:rPr>
  </w:style>
  <w:style w:type="paragraph" w:styleId="15">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
    <w:name w:val="标题 1 Char"/>
    <w:basedOn w:val="18"/>
    <w:link w:val="2"/>
    <w:uiPriority w:val="9"/>
    <w:rPr>
      <w:rFonts w:asciiTheme="majorHAnsi" w:hAnsiTheme="majorHAnsi" w:eastAsiaTheme="majorEastAsia" w:cstheme="majorBidi"/>
      <w:color w:val="366091" w:themeColor="accent1" w:themeShade="BF"/>
      <w:sz w:val="48"/>
      <w:szCs w:val="48"/>
    </w:rPr>
  </w:style>
  <w:style w:type="character" w:customStyle="1" w:styleId="20">
    <w:name w:val="标题 2 Char"/>
    <w:basedOn w:val="18"/>
    <w:link w:val="3"/>
    <w:uiPriority w:val="9"/>
    <w:rPr>
      <w:rFonts w:asciiTheme="majorHAnsi" w:hAnsiTheme="majorHAnsi" w:eastAsiaTheme="majorEastAsia" w:cstheme="majorBidi"/>
      <w:color w:val="366091" w:themeColor="accent1" w:themeShade="BF"/>
      <w:sz w:val="40"/>
      <w:szCs w:val="40"/>
    </w:rPr>
  </w:style>
  <w:style w:type="character" w:customStyle="1" w:styleId="21">
    <w:name w:val="标题 3 Char"/>
    <w:basedOn w:val="18"/>
    <w:link w:val="4"/>
    <w:semiHidden/>
    <w:uiPriority w:val="9"/>
    <w:rPr>
      <w:rFonts w:asciiTheme="majorHAnsi" w:hAnsiTheme="majorHAnsi" w:eastAsiaTheme="majorEastAsia" w:cstheme="majorBidi"/>
      <w:color w:val="366091" w:themeColor="accent1" w:themeShade="BF"/>
      <w:sz w:val="32"/>
      <w:szCs w:val="32"/>
    </w:rPr>
  </w:style>
  <w:style w:type="character" w:customStyle="1" w:styleId="22">
    <w:name w:val="标题 4 Char"/>
    <w:basedOn w:val="18"/>
    <w:link w:val="5"/>
    <w:semiHidden/>
    <w:uiPriority w:val="9"/>
    <w:rPr>
      <w:rFonts w:cstheme="majorBidi"/>
      <w:color w:val="366091" w:themeColor="accent1" w:themeShade="BF"/>
      <w:sz w:val="28"/>
      <w:szCs w:val="28"/>
    </w:rPr>
  </w:style>
  <w:style w:type="character" w:customStyle="1" w:styleId="23">
    <w:name w:val="标题 5 Char"/>
    <w:basedOn w:val="18"/>
    <w:link w:val="6"/>
    <w:semiHidden/>
    <w:uiPriority w:val="9"/>
    <w:rPr>
      <w:rFonts w:cstheme="majorBidi"/>
      <w:color w:val="366091" w:themeColor="accent1" w:themeShade="BF"/>
      <w:sz w:val="24"/>
      <w:szCs w:val="24"/>
    </w:rPr>
  </w:style>
  <w:style w:type="character" w:customStyle="1" w:styleId="24">
    <w:name w:val="标题 6 Char"/>
    <w:basedOn w:val="18"/>
    <w:link w:val="7"/>
    <w:semiHidden/>
    <w:uiPriority w:val="9"/>
    <w:rPr>
      <w:rFonts w:cstheme="majorBidi"/>
      <w:b/>
      <w:bCs/>
      <w:color w:val="366091" w:themeColor="accent1" w:themeShade="BF"/>
    </w:rPr>
  </w:style>
  <w:style w:type="character" w:customStyle="1" w:styleId="25">
    <w:name w:val="标题 7 Char"/>
    <w:basedOn w:val="18"/>
    <w:link w:val="8"/>
    <w:semiHidden/>
    <w:qFormat/>
    <w:uiPriority w:val="9"/>
    <w:rPr>
      <w:rFonts w:cstheme="majorBidi"/>
      <w:b/>
      <w:bCs/>
      <w:color w:val="585858" w:themeColor="text1" w:themeTint="A6"/>
    </w:rPr>
  </w:style>
  <w:style w:type="character" w:customStyle="1" w:styleId="26">
    <w:name w:val="标题 8 Char"/>
    <w:basedOn w:val="18"/>
    <w:link w:val="9"/>
    <w:semiHidden/>
    <w:qFormat/>
    <w:uiPriority w:val="9"/>
    <w:rPr>
      <w:rFonts w:cstheme="majorBidi"/>
      <w:color w:val="585858" w:themeColor="text1" w:themeTint="A6"/>
    </w:rPr>
  </w:style>
  <w:style w:type="character" w:customStyle="1" w:styleId="27">
    <w:name w:val="标题 9 Char"/>
    <w:basedOn w:val="18"/>
    <w:link w:val="10"/>
    <w:semiHidden/>
    <w:qFormat/>
    <w:uiPriority w:val="9"/>
    <w:rPr>
      <w:rFonts w:eastAsiaTheme="majorEastAsia" w:cstheme="majorBidi"/>
      <w:color w:val="585858" w:themeColor="text1" w:themeTint="A6"/>
    </w:rPr>
  </w:style>
  <w:style w:type="character" w:customStyle="1" w:styleId="28">
    <w:name w:val="标题 Char"/>
    <w:basedOn w:val="18"/>
    <w:link w:val="15"/>
    <w:qFormat/>
    <w:uiPriority w:val="10"/>
    <w:rPr>
      <w:rFonts w:asciiTheme="majorHAnsi" w:hAnsiTheme="majorHAnsi" w:eastAsiaTheme="majorEastAsia" w:cstheme="majorBidi"/>
      <w:spacing w:val="-10"/>
      <w:kern w:val="28"/>
      <w:sz w:val="56"/>
      <w:szCs w:val="56"/>
    </w:rPr>
  </w:style>
  <w:style w:type="character" w:customStyle="1" w:styleId="29">
    <w:name w:val="副标题 Char"/>
    <w:basedOn w:val="18"/>
    <w:link w:val="14"/>
    <w:qFormat/>
    <w:uiPriority w:val="11"/>
    <w:rPr>
      <w:rFonts w:asciiTheme="majorHAnsi" w:hAnsiTheme="majorHAnsi" w:eastAsiaTheme="majorEastAsia" w:cstheme="majorBidi"/>
      <w:color w:val="585858" w:themeColor="text1" w:themeTint="A6"/>
      <w:spacing w:val="15"/>
      <w:sz w:val="28"/>
      <w:szCs w:val="28"/>
    </w:rPr>
  </w:style>
  <w:style w:type="paragraph" w:styleId="30">
    <w:name w:val="Quote"/>
    <w:basedOn w:val="1"/>
    <w:next w:val="1"/>
    <w:link w:val="31"/>
    <w:qFormat/>
    <w:uiPriority w:val="29"/>
    <w:pPr>
      <w:spacing w:before="160" w:after="160"/>
      <w:jc w:val="center"/>
    </w:pPr>
    <w:rPr>
      <w:i/>
      <w:iCs/>
      <w:color w:val="3F3F3F" w:themeColor="text1" w:themeTint="BF"/>
    </w:rPr>
  </w:style>
  <w:style w:type="character" w:customStyle="1" w:styleId="31">
    <w:name w:val="引用 Char"/>
    <w:basedOn w:val="18"/>
    <w:link w:val="30"/>
    <w:qFormat/>
    <w:uiPriority w:val="29"/>
    <w:rPr>
      <w:i/>
      <w:iCs/>
      <w:color w:val="3F3F3F" w:themeColor="text1" w:themeTint="BF"/>
    </w:rPr>
  </w:style>
  <w:style w:type="paragraph" w:styleId="32">
    <w:name w:val="List Paragraph"/>
    <w:basedOn w:val="1"/>
    <w:qFormat/>
    <w:uiPriority w:val="34"/>
    <w:pPr>
      <w:ind w:left="720"/>
      <w:contextualSpacing/>
    </w:pPr>
  </w:style>
  <w:style w:type="character" w:customStyle="1" w:styleId="33">
    <w:name w:val="Intense Emphasis"/>
    <w:basedOn w:val="18"/>
    <w:qFormat/>
    <w:uiPriority w:val="21"/>
    <w:rPr>
      <w:i/>
      <w:iCs/>
      <w:color w:val="366091" w:themeColor="accent1" w:themeShade="BF"/>
    </w:rPr>
  </w:style>
  <w:style w:type="paragraph" w:styleId="34">
    <w:name w:val="Intense Quote"/>
    <w:basedOn w:val="1"/>
    <w:next w:val="1"/>
    <w:link w:val="35"/>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66091" w:themeColor="accent1" w:themeShade="BF"/>
    </w:rPr>
  </w:style>
  <w:style w:type="character" w:customStyle="1" w:styleId="35">
    <w:name w:val="明显引用 Char"/>
    <w:basedOn w:val="18"/>
    <w:link w:val="34"/>
    <w:qFormat/>
    <w:uiPriority w:val="30"/>
    <w:rPr>
      <w:i/>
      <w:iCs/>
      <w:color w:val="366091" w:themeColor="accent1" w:themeShade="BF"/>
    </w:rPr>
  </w:style>
  <w:style w:type="character" w:customStyle="1" w:styleId="36">
    <w:name w:val="Intense Reference"/>
    <w:basedOn w:val="18"/>
    <w:qFormat/>
    <w:uiPriority w:val="32"/>
    <w:rPr>
      <w:b/>
      <w:bCs/>
      <w:smallCaps/>
      <w:color w:val="366091" w:themeColor="accent1" w:themeShade="BF"/>
      <w:spacing w:val="5"/>
    </w:rPr>
  </w:style>
  <w:style w:type="table" w:customStyle="1" w:styleId="37">
    <w:name w:val="Table Normal"/>
    <w:semiHidden/>
    <w:unhideWhenUsed/>
    <w:qFormat/>
    <w:uiPriority w:val="0"/>
    <w:pPr>
      <w:spacing w:after="160" w:line="278" w:lineRule="auto"/>
    </w:pPr>
    <w:rPr>
      <w:rFonts w:ascii="Arial" w:hAnsi="Arial" w:cs="Arial"/>
      <w:snapToGrid w:val="0"/>
      <w:color w:val="000000"/>
      <w:kern w:val="0"/>
      <w:szCs w:val="21"/>
      <w:lang w:eastAsia="en-US"/>
    </w:rPr>
    <w:tblPr>
      <w:tblCellMar>
        <w:top w:w="0" w:type="dxa"/>
        <w:left w:w="0" w:type="dxa"/>
        <w:bottom w:w="0" w:type="dxa"/>
        <w:right w:w="0" w:type="dxa"/>
      </w:tblCellMar>
    </w:tblPr>
  </w:style>
  <w:style w:type="paragraph" w:customStyle="1" w:styleId="38">
    <w:name w:val="Table Text"/>
    <w:basedOn w:val="1"/>
    <w:semiHidden/>
    <w:qFormat/>
    <w:uiPriority w:val="0"/>
    <w:pPr>
      <w:widowControl/>
      <w:kinsoku w:val="0"/>
      <w:autoSpaceDE w:val="0"/>
      <w:autoSpaceDN w:val="0"/>
      <w:adjustRightInd w:val="0"/>
      <w:snapToGrid w:val="0"/>
      <w:spacing w:after="160"/>
      <w:jc w:val="left"/>
      <w:textAlignment w:val="baseline"/>
    </w:pPr>
    <w:rPr>
      <w:rFonts w:ascii="Arial" w:hAnsi="Arial" w:eastAsia="Arial" w:cs="Arial"/>
      <w:snapToGrid w:val="0"/>
      <w:color w:val="000000"/>
      <w:kern w:val="0"/>
      <w:szCs w:val="21"/>
      <w:lang w:eastAsia="en-US"/>
    </w:rPr>
  </w:style>
  <w:style w:type="character" w:customStyle="1" w:styleId="39">
    <w:name w:val="页眉 Char"/>
    <w:basedOn w:val="18"/>
    <w:link w:val="13"/>
    <w:qFormat/>
    <w:uiPriority w:val="99"/>
    <w:rPr>
      <w:sz w:val="18"/>
      <w:szCs w:val="18"/>
    </w:rPr>
  </w:style>
  <w:style w:type="character" w:customStyle="1" w:styleId="40">
    <w:name w:val="页脚 Char"/>
    <w:basedOn w:val="18"/>
    <w:link w:val="12"/>
    <w:qFormat/>
    <w:uiPriority w:val="99"/>
    <w:rPr>
      <w:sz w:val="18"/>
      <w:szCs w:val="18"/>
    </w:rPr>
  </w:style>
  <w:style w:type="character" w:customStyle="1" w:styleId="41">
    <w:name w:val="批注框文本 Char"/>
    <w:basedOn w:val="18"/>
    <w:link w:val="11"/>
    <w:semiHidden/>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24</Pages>
  <Words>7273</Words>
  <Characters>8081</Characters>
  <Lines>71</Lines>
  <Paragraphs>20</Paragraphs>
  <TotalTime>31</TotalTime>
  <ScaleCrop>false</ScaleCrop>
  <LinksUpToDate>false</LinksUpToDate>
  <CharactersWithSpaces>8101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2025-06-26T03:12:00Z</dcterms:created>
  <dc:creator>S5117</dc:creator>
  <cp:lastModifiedBy>陈建国</cp:lastModifiedBy>
  <cp:lastPrinted>2025-06-26T07:11:00Z</cp:lastPrinted>
  <dcterms:modified xsi:type="dcterms:W3CDTF">2025-07-11T02:14:44Z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eyJoZGlkIjoiNzRlN2MzMDE1YjNhOWQ2ZmIxYTFjMjJhZDUzNzVmNjIiLCJ1c2VySWQiOiIzOTQ1NDE3MjcifQ==</vt:lpwstr>
  </property>
  <property fmtid="{D5CDD505-2E9C-101B-9397-08002B2CF9AE}" pid="3" name="KSOProductBuildVer">
    <vt:lpwstr>2052-12.1.0.21915</vt:lpwstr>
  </property>
  <property fmtid="{D5CDD505-2E9C-101B-9397-08002B2CF9AE}" pid="4" name="ICV">
    <vt:lpwstr>BE371CB28A7F4B4E83405BD016158884_12</vt:lpwstr>
  </property>
</Properties>
</file>