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CD96D">
      <w:pPr>
        <w:pStyle w:val="2"/>
        <w:jc w:val="left"/>
        <w:rPr>
          <w:rFonts w:ascii="方正公文小标宋" w:eastAsia="方正公文小标宋"/>
          <w:b w:val="0"/>
          <w:sz w:val="84"/>
          <w:szCs w:val="84"/>
          <w:lang w:eastAsia="zh-CN"/>
        </w:rPr>
      </w:pPr>
    </w:p>
    <w:p w14:paraId="1D8DDC5B">
      <w:pPr>
        <w:pStyle w:val="2"/>
        <w:jc w:val="left"/>
        <w:rPr>
          <w:rFonts w:ascii="方正公文小标宋" w:eastAsia="方正公文小标宋"/>
          <w:b w:val="0"/>
          <w:sz w:val="84"/>
          <w:szCs w:val="84"/>
          <w:lang w:eastAsia="zh-CN"/>
        </w:rPr>
      </w:pPr>
    </w:p>
    <w:p w14:paraId="62DAF18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湖南省永州市东安县白牙市镇</w:t>
      </w:r>
    </w:p>
    <w:p w14:paraId="584041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6970A00">
      <w:pPr>
        <w:rPr>
          <w:rFonts w:ascii="方正公文小标宋" w:eastAsia="方正公文小标宋"/>
          <w:sz w:val="84"/>
          <w:szCs w:val="84"/>
          <w:lang w:eastAsia="zh-CN"/>
        </w:rPr>
      </w:pPr>
    </w:p>
    <w:p w14:paraId="0D25DC1B">
      <w:pPr>
        <w:rPr>
          <w:rFonts w:ascii="方正公文小标宋" w:eastAsia="方正公文小标宋"/>
          <w:sz w:val="84"/>
          <w:szCs w:val="84"/>
          <w:lang w:eastAsia="zh-CN"/>
        </w:rPr>
      </w:pPr>
    </w:p>
    <w:p w14:paraId="0398EF43">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2FF44CF8">
      <w:pPr>
        <w:bidi w:val="0"/>
        <w:rPr>
          <w:rFonts w:ascii="Arial" w:hAnsi="Arial" w:eastAsia="Arial" w:cs="Arial"/>
          <w:snapToGrid w:val="0"/>
          <w:color w:val="000000"/>
          <w:kern w:val="0"/>
          <w:sz w:val="21"/>
          <w:szCs w:val="21"/>
          <w:lang w:val="en-US" w:eastAsia="en-US" w:bidi="ar-SA"/>
        </w:rPr>
      </w:pPr>
    </w:p>
    <w:p w14:paraId="42D81D39">
      <w:pPr>
        <w:bidi w:val="0"/>
        <w:rPr>
          <w:lang w:val="en-US" w:eastAsia="en-US"/>
        </w:rPr>
      </w:pPr>
    </w:p>
    <w:p w14:paraId="6CA5544E">
      <w:pPr>
        <w:bidi w:val="0"/>
        <w:rPr>
          <w:lang w:val="en-US" w:eastAsia="en-US"/>
        </w:rPr>
      </w:pPr>
    </w:p>
    <w:p w14:paraId="70286EA3">
      <w:pPr>
        <w:tabs>
          <w:tab w:val="left" w:pos="9078"/>
        </w:tabs>
        <w:bidi w:val="0"/>
        <w:jc w:val="left"/>
        <w:rPr>
          <w:rFonts w:hint="eastAsia" w:eastAsia="宋体"/>
          <w:lang w:val="en-US" w:eastAsia="zh-CN"/>
        </w:rPr>
        <w:sectPr>
          <w:pgSz w:w="16837" w:h="11905" w:orient="landscape"/>
          <w:pgMar w:top="1418" w:right="1418" w:bottom="1418" w:left="1418" w:header="851" w:footer="907" w:gutter="0"/>
          <w:pgNumType w:fmt="decimal" w:start="1"/>
          <w:cols w:space="720" w:num="1"/>
          <w:docGrid w:linePitch="312" w:charSpace="0"/>
        </w:sectPr>
      </w:pPr>
      <w:r>
        <w:rPr>
          <w:rFonts w:hint="eastAsia" w:eastAsia="宋体"/>
          <w:lang w:val="en-US" w:eastAsia="zh-CN"/>
        </w:rPr>
        <w:tab/>
      </w:r>
    </w:p>
    <w:sdt>
      <w:sdtPr>
        <w:rPr>
          <w:rFonts w:hint="eastAsia" w:ascii="宋体" w:hAnsi="宋体" w:eastAsia="宋体" w:cs="宋体"/>
          <w:snapToGrid w:val="0"/>
          <w:color w:val="000000"/>
          <w:kern w:val="0"/>
          <w:sz w:val="44"/>
          <w:szCs w:val="44"/>
          <w:lang w:val="en-US" w:eastAsia="en-US" w:bidi="ar-SA"/>
        </w:rPr>
        <w:id w:val="14745722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6B6A9541">
          <w:pPr>
            <w:spacing w:before="0" w:beforeLines="0" w:after="0" w:afterLines="0" w:line="24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14:paraId="38360C84">
          <w:pPr>
            <w:pStyle w:val="2"/>
            <w:rPr>
              <w:rFonts w:hint="eastAsia"/>
            </w:rPr>
          </w:pPr>
        </w:p>
        <w:p w14:paraId="29B51CAA">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_Toc12285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_Toc12285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5CFABC7">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_Toc12453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_Toc12453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A03DCAB">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_Toc4400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_Toc4400 \h </w:instrText>
          </w:r>
          <w:r>
            <w:fldChar w:fldCharType="separate"/>
          </w:r>
          <w:r>
            <w:t>41</w:t>
          </w:r>
          <w:r>
            <w:fldChar w:fldCharType="end"/>
          </w:r>
          <w:r>
            <w:rPr>
              <w:rFonts w:ascii="Times New Roman" w:hAnsi="Times New Roman" w:eastAsia="方正小标宋_GBK" w:cs="Times New Roman"/>
              <w:color w:val="auto"/>
              <w:spacing w:val="7"/>
              <w:szCs w:val="44"/>
              <w:lang w:eastAsia="zh-CN"/>
            </w:rPr>
            <w:fldChar w:fldCharType="end"/>
          </w:r>
        </w:p>
        <w:p w14:paraId="0B76387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C935810">
      <w:pPr>
        <w:rPr>
          <w:lang w:eastAsia="zh-CN"/>
        </w:rPr>
      </w:pPr>
    </w:p>
    <w:p w14:paraId="1C9E07BE">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551"/>
      <w:bookmarkStart w:id="2" w:name="_Toc172077416"/>
      <w:bookmarkStart w:id="3" w:name="_Toc12285"/>
    </w:p>
    <w:p w14:paraId="4F74B286">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10EE1726">
      <w:pPr>
        <w:rPr>
          <w:lang w:eastAsia="zh-CN"/>
        </w:rPr>
      </w:pPr>
    </w:p>
    <w:tbl>
      <w:tblPr>
        <w:tblStyle w:val="8"/>
        <w:tblW w:w="14045" w:type="dxa"/>
        <w:jc w:val="center"/>
        <w:tblLayout w:type="autofit"/>
        <w:tblCellMar>
          <w:top w:w="0" w:type="dxa"/>
          <w:left w:w="108" w:type="dxa"/>
          <w:bottom w:w="0" w:type="dxa"/>
          <w:right w:w="108" w:type="dxa"/>
        </w:tblCellMar>
      </w:tblPr>
      <w:tblGrid>
        <w:gridCol w:w="712"/>
        <w:gridCol w:w="13333"/>
      </w:tblGrid>
      <w:tr w14:paraId="59F9C390">
        <w:tblPrEx>
          <w:tblCellMar>
            <w:top w:w="0" w:type="dxa"/>
            <w:left w:w="108" w:type="dxa"/>
            <w:bottom w:w="0" w:type="dxa"/>
            <w:right w:w="108" w:type="dxa"/>
          </w:tblCellMar>
        </w:tblPrEx>
        <w:trPr>
          <w:cantSplit/>
          <w:trHeight w:val="658" w:hRule="atLeast"/>
          <w:tblHeade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38B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73C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2C67162">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DF8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3E84D96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F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2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56752B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D021B0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15166D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0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048A8A9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9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E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3871C1A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4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F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A1D5A6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D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3F6C480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5FD2D32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7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B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7B3311F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6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E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15E4C57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5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762830B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D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6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推进城市党建示范点建设，创建“十全十美”社区党建品牌，不断增强基层党组织政治功能和组织功能。</w:t>
            </w:r>
          </w:p>
        </w:tc>
      </w:tr>
      <w:tr w14:paraId="2E48DD2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76B2E49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1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0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加强“两企三新”党建工作，推进城区“红色驿站”建设，擦亮红色党建品牌。</w:t>
            </w:r>
          </w:p>
        </w:tc>
      </w:tr>
      <w:tr w14:paraId="05676F9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0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2A6917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5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7F1A4C3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6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17B386B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B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715DD47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3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6FD23DD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3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224B372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9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8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2B56B78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F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0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5B1C26EF">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D96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00BA1B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3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A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4BD6F09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F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7F7AE02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3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43D879F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优化营商环境，支持服务县城工业园区建设，协调解决企业面临的水、电、路、网、气、地等方面的问题，调处涉企矛盾纠纷，积极开展代办事务，帮助对接市场，服务企业发展和项目建设。</w:t>
            </w:r>
          </w:p>
        </w:tc>
      </w:tr>
      <w:tr w14:paraId="356A8E6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F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7F75247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大力发展东安鸡产业，打造国宴东安鸡品牌，配合做好东安鸡文化旅游中心建设工作。</w:t>
            </w:r>
          </w:p>
        </w:tc>
      </w:tr>
      <w:tr w14:paraId="253C93B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0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411B4FE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8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9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E6D7DE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C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272ACA0A">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A0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3B77548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5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2F011CA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2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1D24DB6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C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1DB7826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6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31319A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E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1973CD5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0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230EFD8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2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7A7C7E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9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6F28439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5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做好社区老年助餐点、充电桩建设前期选址和矛盾调纠工作。</w:t>
            </w:r>
          </w:p>
        </w:tc>
      </w:tr>
      <w:tr w14:paraId="4B2808D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C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2FD6088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E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97D792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2E071EC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C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D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417E859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3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8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4997E31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负责城区廉租房补贴申请、登记、核实、上报、公示。</w:t>
            </w:r>
          </w:p>
        </w:tc>
      </w:tr>
      <w:tr w14:paraId="0ECAE0F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0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9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6253184B">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89B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35CB9C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B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60AD884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B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开展高铁站及周边铁路护路工作，加强铁路巡查及隐患排查，强化铁路安全宣传教育，普及铁路安全法律法规和铁路安全知识，提高公众铁路安全意识。</w:t>
            </w:r>
          </w:p>
        </w:tc>
      </w:tr>
      <w:tr w14:paraId="57E35BCA">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C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9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0C5017C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65C9B29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2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6904BA3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A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721C54C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5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4F6E144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14:paraId="124530FF">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D53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CCEBC5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2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6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55FC6FF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A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F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推进宥江桥-神仙桥“千万工程”示范区项目建设。</w:t>
            </w:r>
          </w:p>
        </w:tc>
      </w:tr>
      <w:tr w14:paraId="353D08D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2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8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132A306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F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5D9BE32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5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6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1006E0D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E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6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05BDA8F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D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1CE53A2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6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57C0C03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B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050CB8E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14:paraId="4A1B203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6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10ED4D7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75CD567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C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3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7239EC0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53CE728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B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278B612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48453D4E">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0DE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7C2A5E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1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1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55CE97FC">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4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A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3C82301E">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3C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14:paraId="36DC11A2">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6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E378F8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加强城市社区专职工作人员队伍建设和管理，推进城市社区专职工作者职业体系建设，完善管理考核体系，开展城市社区服务和协调工作。</w:t>
            </w:r>
          </w:p>
        </w:tc>
      </w:tr>
      <w:tr w14:paraId="19E61AA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6C1AF19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14:paraId="19D54762">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2DE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746FE56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2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w:t>
            </w:r>
          </w:p>
        </w:tc>
      </w:tr>
      <w:tr w14:paraId="03B961F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5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1E94344">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2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7BA43D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B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5387D2A3">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00F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74A0C5C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1F5E00E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F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0C484DCF">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A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1ECD832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A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6AF1F95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E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6A4EE0F7">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8D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557BF68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9D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2A391EA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4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3C83CFC7">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F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64CE82A8">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082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241DE69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2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2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0A3B7CC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345798A4">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F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4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7406072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A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763D5DF9">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346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600E779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9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F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6DAB39A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D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58A7361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9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7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3193114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7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4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2847B2E1">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C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7A084296">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5A9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07F9FA6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9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9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打造桐子山村产业兴村示范点，探索“农文旅”新样板融合创建，推动镇域经济发展。</w:t>
            </w:r>
          </w:p>
        </w:tc>
      </w:tr>
      <w:tr w14:paraId="4E6290D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0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04F4F5B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B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044DE981">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6BC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42A271F8">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1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67E5A463">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04E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AE8C2CD">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8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205F033F">
        <w:tblPrEx>
          <w:tblCellMar>
            <w:top w:w="0" w:type="dxa"/>
            <w:left w:w="108" w:type="dxa"/>
            <w:bottom w:w="0" w:type="dxa"/>
            <w:right w:w="108" w:type="dxa"/>
          </w:tblCellMar>
        </w:tblPrEx>
        <w:trPr>
          <w:cantSplit/>
          <w:trHeight w:val="480" w:hRule="atLeast"/>
          <w:jc w:val="center"/>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D41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1E680953">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5DE6CED5">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2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7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2426BD96">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8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D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62F9CBD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0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B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2C98EF3B">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9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0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0F1386A9">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8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14:paraId="585B191E">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8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6E1A0290">
        <w:tblPrEx>
          <w:tblCellMar>
            <w:top w:w="0" w:type="dxa"/>
            <w:left w:w="108" w:type="dxa"/>
            <w:bottom w:w="0" w:type="dxa"/>
            <w:right w:w="108" w:type="dxa"/>
          </w:tblCellMar>
        </w:tblPrEx>
        <w:trPr>
          <w:cantSplit/>
          <w:trHeight w:val="7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8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646DD66F">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24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074C54FB">
      <w:pPr>
        <w:rPr>
          <w:lang w:eastAsia="zh-CN"/>
        </w:rPr>
      </w:pPr>
    </w:p>
    <w:tbl>
      <w:tblPr>
        <w:tblStyle w:val="8"/>
        <w:tblW w:w="14045" w:type="dxa"/>
        <w:jc w:val="center"/>
        <w:tblLayout w:type="autofit"/>
        <w:tblCellMar>
          <w:top w:w="0" w:type="dxa"/>
          <w:left w:w="108" w:type="dxa"/>
          <w:bottom w:w="0" w:type="dxa"/>
          <w:right w:w="108" w:type="dxa"/>
        </w:tblCellMar>
      </w:tblPr>
      <w:tblGrid>
        <w:gridCol w:w="727"/>
        <w:gridCol w:w="1814"/>
        <w:gridCol w:w="1740"/>
        <w:gridCol w:w="4916"/>
        <w:gridCol w:w="4848"/>
      </w:tblGrid>
      <w:tr w14:paraId="605B8056">
        <w:tblPrEx>
          <w:tblCellMar>
            <w:top w:w="0" w:type="dxa"/>
            <w:left w:w="108" w:type="dxa"/>
            <w:bottom w:w="0" w:type="dxa"/>
            <w:right w:w="108" w:type="dxa"/>
          </w:tblCellMar>
        </w:tblPrEx>
        <w:trPr>
          <w:cantSplit/>
          <w:trHeight w:val="632" w:hRule="atLeast"/>
          <w:tblHeader/>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13D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83B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3F6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26A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93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34B17E5">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959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06A01CC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E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72E8CA6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7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6AAFC5A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3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B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366B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1EF18C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7167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077111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8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7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3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C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C69E2C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8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4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3E66359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03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C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570567A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8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9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E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262EBE2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F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4BD4466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4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4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3669A2B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B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2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A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0AE6857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6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49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983A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9F8940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D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E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4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7AFAD3A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6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9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0F335F8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5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2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208F060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8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11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F0E1B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5257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1950513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4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3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6F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4EAC9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28F402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B55650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19E8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15DA838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8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7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F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0498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6EFC722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4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48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8332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D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FBF850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0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7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ED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8B1A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7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A6497C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2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B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F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E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0A53545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E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D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9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688AA505">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912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DE0B7D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4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2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112EAF9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4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E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4F6BA99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9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C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00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D9E90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县市场监督管理局</w:t>
            </w:r>
          </w:p>
          <w:p w14:paraId="7D081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6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670058FF">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1D6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D9F891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9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C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3B7FB6C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C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7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5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3.建设城区丧事集中办理服务点。</w:t>
            </w:r>
          </w:p>
        </w:tc>
      </w:tr>
      <w:tr w14:paraId="0C8E936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6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E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771A21D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4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B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4D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县水利局（牵头）县卫生健康局</w:t>
            </w:r>
          </w:p>
          <w:p w14:paraId="3266C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15280AE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3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D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792A5CB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B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2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C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B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5897D48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9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2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3FB7160D">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A698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4C9E06B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D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A1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29B10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5A18D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372F8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01D46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140F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244AC0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80B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0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4910059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4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8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45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县公安局（牵头）县委政法委</w:t>
            </w:r>
          </w:p>
          <w:p w14:paraId="79B525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382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064B007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0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8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00723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CC1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8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0DE806D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0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2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91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5C477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A23B2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283293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B3D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1.县委政法委负责常态化推进扫黑除恶斗争的组织协调；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6CB7FAA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C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0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EE3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7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E8BC9D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0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7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90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645A3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F62F7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4B8325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3121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5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3.县人民检察院负责审查批捕起诉，监督诉讼，参与案件处置，提供法律指导；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3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3F11667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A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5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3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13D8B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F615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4889ADC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8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4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2A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县教育局（牵头）县人民法院</w:t>
            </w:r>
          </w:p>
          <w:p w14:paraId="725AB3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1F89CE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2EF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0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6972568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9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A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E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722D477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A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7F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县公安局（牵头）县教育局</w:t>
            </w:r>
          </w:p>
          <w:p w14:paraId="253FB1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0E0D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D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0AB76F1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5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F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4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E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5AD39514">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438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3DC361F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7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F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16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76B07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63E4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3E53D14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A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2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E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E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3.负责动物疫情排查、畜禽强制免疫与农作物病虫害防治的组织实施、防疫宣传、疫情报告与应急处置、病死动物无害化处理等工作（不包括在江河、湖泊、水库等水域发现的死亡畜禽）。</w:t>
            </w:r>
          </w:p>
        </w:tc>
      </w:tr>
      <w:tr w14:paraId="7168F22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0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7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1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7752AD20">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27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33FF21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D3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8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3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F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1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251D1585">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8FC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14:paraId="5AEC668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6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4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285FE7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C82BC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5EDD1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14:paraId="4C02C8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701A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1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62AEEE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7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E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16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县公安局（牵头）县农业农村局</w:t>
            </w:r>
          </w:p>
          <w:p w14:paraId="79D030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E729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1.县公安局负责城市违章养犬的处理，捕杀狂犬、野犬，查处犬只扰民、放任犬只恐吓他人、纵犬伤人等违反治安管理的行为；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2.县农业农村局负责犬只免疫监管,按照便民原则设置犬只免疫</w:t>
            </w:r>
            <w:r>
              <w:rPr>
                <w:rFonts w:hint="eastAsia" w:ascii="Times New Roman" w:hAnsi="方正公文仿宋" w:eastAsia="方正公文仿宋"/>
                <w:kern w:val="0"/>
                <w:szCs w:val="21"/>
                <w:highlight w:val="none"/>
                <w:lang w:bidi="ar"/>
              </w:rPr>
              <w:t>点；负责犬只检疫，根据检疫申报依法对犬只出具检疫证明；建立犬只疫情监测网络，对犬只疫情进行监测</w:t>
            </w:r>
            <w:r>
              <w:rPr>
                <w:rFonts w:hint="eastAsia" w:ascii="Times New Roman" w:hAnsi="方正公文仿宋" w:eastAsia="方正公文仿宋"/>
                <w:kern w:val="0"/>
                <w:szCs w:val="21"/>
                <w:lang w:bidi="ar"/>
              </w:rPr>
              <w:t>；依法监督管理犬只诊疗、规模养殖等活动；依法审查和监督管理犬只留检场所的动物防疫条件执行情况；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3.县卫生健康局负责狂犬病等疾病的预防知识宣传；监测人患狂犬病等疫情；做好狂犬病病毒暴露者的预防接种及诊治工作；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4.县城市管理和综合执法局负责查处城市规划区内影响城市市容、环境卫生的养犬行为和违法占道进行犬只经营活动的行为；指导和监督公园、广场等公共场所设置犬只禁入标识。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2.负责养犬的管理，指导村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协助开展养犬管理工作，对违法养犬行为予以劝阻，并向有关行政管理部门报告；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以及居民住宅小区业主大会就养犬有关事项制定公约，并监督实施。</w:t>
            </w:r>
          </w:p>
        </w:tc>
      </w:tr>
      <w:tr w14:paraId="7DBE4D8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A8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31641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3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对物业服务质量进行监督管理；负责对物业招投标活动进行监督管理；对物业承接查验、物业服务企业退出交接活动进行指导和监督，处理物业管理中的投诉，对专项维修资金缴存、使用情况进行监督管理，对尚未划分物业管理区域并已投入使用的，会同乡镇征求业主意见后予以核定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2.县发展和改革局对已评定的商品住宅物业服务等级进行备案审查。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5.对辖区小区物业服务企业运行情况进行年度评估，并将结果反馈至县住房和城乡建设局。</w:t>
            </w:r>
          </w:p>
        </w:tc>
      </w:tr>
      <w:tr w14:paraId="74E1B48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B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0F01BD2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A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5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A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2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4A5584F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4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532A43E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4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E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0F8174BD">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B48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E534A1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6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31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1A4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3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FFA774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D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4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7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7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3BCAE1B7">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C8D0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3781D70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9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3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4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97A0FE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8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F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9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14:paraId="715E6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6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2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2CCBE8F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C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BE6DB2B">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CBC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486D77E">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7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1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49C261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F8D4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8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D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1160B802">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C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B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6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3E6FD73B">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5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1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5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0B22F73A">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E7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县自然资源局（牵头“非农化”）
县农业农村局（牵头“非粮化”）</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6AB06E5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6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2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0DF4A66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7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6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3387226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4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F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1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3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4885346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B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C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F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986F670">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ED0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08EADEC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7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1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2.开展监管执法行动，查处生产销售“非标地膜”和不按规定回收地膜、农药包装废弃物等违法行为，建立县级工作台账，负责农药生产者、经营者、使用者履行农药包装废弃物回收处理义务的监督管理。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763072F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7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C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7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1EDC7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0CE93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6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1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8EE5B21">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E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13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87A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6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5B43D26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7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市生态环境局东安分局（牵头）
县农业农村局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4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0EC8E83B">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E0A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47AB80F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6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6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3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4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1E151B4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8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6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68E9283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C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9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A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473869F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0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A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2BD413E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E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7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0812CA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06F017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4B86A1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2748D4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2DD0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3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1.负责限额以下居民自建房安全日常巡查，开展居民自建房安全管理有关法律法规和安全知识的宣传，对居民自建房的安全状况进行排查；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2.及时制止违法建设和其他危害房屋安全的行为，指导村民委员会、居民委员会将农村住房建设自治管理内容纳入村规民约（居民公约）；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3957297F">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D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D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9B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14:paraId="58BD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14:paraId="56C996F6">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E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对规划区内存在安全隐患的屋顶棚架进行拆除。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依法对安全隐患的屋顶棚架进行拆除。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组织开展规划区内存在安全隐患的屋顶棚架摸排工作并上报。</w:t>
            </w:r>
          </w:p>
        </w:tc>
      </w:tr>
      <w:tr w14:paraId="27B2A1A1">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5320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2B15A308">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3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9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2D1392C4">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AC6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B07BFE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D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5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B4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7EB8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82554F5">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C26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296F13ED">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F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F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43B5BA80">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1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B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3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防控工作。</w:t>
            </w:r>
          </w:p>
        </w:tc>
      </w:tr>
      <w:tr w14:paraId="56CFBE28">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D0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1E32BE85">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E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3DADE67">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0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3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175C6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县住房和城乡建设局</w:t>
            </w:r>
          </w:p>
          <w:p w14:paraId="3B9388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C171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县城市管理和综合执法局
</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C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w:t>
            </w:r>
            <w:bookmarkStart w:id="12" w:name="_GoBack"/>
            <w:bookmarkEnd w:id="12"/>
            <w:r>
              <w:rPr>
                <w:rFonts w:hint="eastAsia" w:ascii="Times New Roman" w:hAnsi="方正公文仿宋" w:eastAsia="方正公文仿宋"/>
                <w:kern w:val="0"/>
                <w:szCs w:val="21"/>
                <w:lang w:bidi="ar"/>
              </w:rPr>
              <w:t>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E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4995CFC">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4441C2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0D7F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9C81159">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2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A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EA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2DE5BD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DE7AD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625F5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6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4CDC9474">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E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2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9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70F7FB70">
        <w:tblPrEx>
          <w:tblCellMar>
            <w:top w:w="0" w:type="dxa"/>
            <w:left w:w="108" w:type="dxa"/>
            <w:bottom w:w="0" w:type="dxa"/>
            <w:right w:w="108" w:type="dxa"/>
          </w:tblCellMar>
        </w:tblPrEx>
        <w:trPr>
          <w:cantSplit/>
          <w:trHeight w:val="23" w:hRule="atLeast"/>
          <w:jc w:val="cent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849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52A4ED3">
        <w:tblPrEx>
          <w:tblCellMar>
            <w:top w:w="0" w:type="dxa"/>
            <w:left w:w="108" w:type="dxa"/>
            <w:bottom w:w="0" w:type="dxa"/>
            <w:right w:w="108" w:type="dxa"/>
          </w:tblCellMar>
        </w:tblPrEx>
        <w:trPr>
          <w:cantSplit/>
          <w:trHeight w:val="2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E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7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1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4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52CE95D5">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4400"/>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36793102">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31D384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093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8E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97A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1052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376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70F82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F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2D3F9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B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D459D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F9A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9E9F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6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6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38BC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F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190D8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8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343D7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1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716A7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C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97DB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4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9121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D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0C428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8E1E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5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0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082EA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8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0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承接部门：国家金融监督管理局东安支局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工作方式：由国家金融监督管理局东安支局依法依规处置。</w:t>
            </w:r>
          </w:p>
        </w:tc>
      </w:tr>
      <w:tr w14:paraId="197F0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82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7F9A6D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865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98E2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2A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0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607C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2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298E2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9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658E0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8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E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1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C876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0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9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A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71B14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A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F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41DE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B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41E2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14:paraId="310035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967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E5C6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7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2C85B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6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63923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8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7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4F0FA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58DF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9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2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0ABDB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1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E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0701A1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BF9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25983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5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1D631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E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508C0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87E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F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7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185FF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6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302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8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A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141027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72D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14:paraId="6352F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38DC2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B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2F0A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8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4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0BA12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B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B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53C2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C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5A699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0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5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0E4F5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1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3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14:paraId="1F51A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C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15E3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F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1436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D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5BB94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2D915D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DA0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0DDBE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5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9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D78AE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2B4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22BB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D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6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21106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2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32E33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A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B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55F44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8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8E6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7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6168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8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D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8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7652B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8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4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28F79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D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213A8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9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4521F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4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3062A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B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0CD2C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5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3593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7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4779A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D7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ECE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C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EDD6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1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C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C487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8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06AE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8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68650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5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D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26E7E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0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2F696B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CEF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14:paraId="6B9D3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44FBD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B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C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781E64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7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4A30D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6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8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71AE2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8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7380B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0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D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22782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0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0784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E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5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AFAD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3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1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CD0A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2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9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257B8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5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328F6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8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4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43B59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0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E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14:paraId="6FE8B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9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3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7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14:paraId="3500D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1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362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4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F4AD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4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3BAFD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B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2FDB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6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0F911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A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9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79D4D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0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66F3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D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85CCE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EDC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961A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E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C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08A0E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F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48620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081C9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C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57273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E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0FD88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8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3F7E4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6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4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09CC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2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F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D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44C87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8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258C6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B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9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1B645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2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559415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E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9980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5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BEE8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D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9F70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3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9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1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C4BA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8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8AE5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8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20293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B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B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9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7F949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B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B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3C22C4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A46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十一、城乡建设（11项）</w:t>
            </w:r>
          </w:p>
        </w:tc>
      </w:tr>
      <w:tr w14:paraId="418EA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C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D765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6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E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35F00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0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621FD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9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7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08B93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2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5827F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B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0CBAD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协调开发商向业委会、物业公司做好移交，及前期物业承接查验；对物业公司服务质量进行考评、对各小区物业费进行监管。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明确物业移交和承接查验有关依据，并监督进行资料移交等手续；建立物业公司服务质量考评指标体系，进行定期检查与不定期抽查，规范物业公司收费行为、收费项目标准、依据等，确保收费透明，建立物业费监管机制，要求物业公司定期公开物业费收支情况，确保费用合理使用。</w:t>
            </w:r>
          </w:p>
        </w:tc>
      </w:tr>
      <w:tr w14:paraId="5771F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7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33A9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0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14:paraId="644C0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0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A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06359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1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4E12A3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2A3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65B85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0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3AA7B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7EBAA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1259B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16150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C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6A53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8B9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1771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1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4B182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8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B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E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4444D2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5BB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3C83C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8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4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35452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D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7501F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9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45BE6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7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8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6E454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0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6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9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9F60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AA98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F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6DB0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51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7110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A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8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30AAC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4EE4BC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85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F803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0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1C49C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1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7FFA1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C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C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3D66F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A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1F072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5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7395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8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C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4A71E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7DBBC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9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340F6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F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5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5195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A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40E0E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2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6FA96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C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F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59082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E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093CB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7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7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96EC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C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02505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3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4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02D39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E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1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4141C0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1B3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2F3C7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B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D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66278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1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2C5C2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B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C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3BED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5D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A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2B52E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5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14025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2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C43B5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CBE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十七、综合政务（16项）</w:t>
            </w:r>
          </w:p>
        </w:tc>
      </w:tr>
      <w:tr w14:paraId="0987D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7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6E6FB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D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7490B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D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11063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6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5D651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C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0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城市50平以上的商铺排查统计工作。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71EC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5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D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113B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C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211CE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2D3EBE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9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6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A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D3D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E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6A08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B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D593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1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092612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A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3DE41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D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3F886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9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8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54D11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B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0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913C06A">
      <w:pPr>
        <w:pStyle w:val="3"/>
        <w:spacing w:before="0" w:after="0" w:line="240" w:lineRule="auto"/>
        <w:jc w:val="center"/>
        <w:rPr>
          <w:rFonts w:ascii="Times New Roman" w:hAnsi="Times New Roman" w:eastAsia="方正小标宋_GBK" w:cs="Times New Roman"/>
          <w:color w:val="auto"/>
          <w:spacing w:val="7"/>
          <w:lang w:eastAsia="zh-CN"/>
        </w:rPr>
      </w:pPr>
    </w:p>
    <w:p w14:paraId="4F6ADE1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0BFE">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D2A1">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58BCA">
                          <w:pPr>
                            <w:pStyle w:val="5"/>
                            <w:rPr>
                              <w:rFonts w:hint="eastAsia" w:ascii="宋体" w:hAnsi="宋体" w:eastAsia="宋体" w:cs="宋体"/>
                              <w:sz w:val="24"/>
                              <w:szCs w:val="24"/>
                            </w:rPr>
                          </w:pPr>
                          <w:r>
                            <w:rPr>
                              <w:rFonts w:hint="eastAsia" w:ascii="宋体" w:hAnsi="宋体" w:eastAsia="宋体" w:cs="宋体"/>
                              <w:sz w:val="24"/>
                              <w:szCs w:val="24"/>
                            </w:rPr>
                            <w:t xml:space="preserve">第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E58BCA">
                    <w:pPr>
                      <w:pStyle w:val="5"/>
                      <w:rPr>
                        <w:rFonts w:hint="eastAsia" w:ascii="宋体" w:hAnsi="宋体" w:eastAsia="宋体" w:cs="宋体"/>
                        <w:sz w:val="24"/>
                        <w:szCs w:val="24"/>
                      </w:rPr>
                    </w:pPr>
                    <w:r>
                      <w:rPr>
                        <w:rFonts w:hint="eastAsia" w:ascii="宋体" w:hAnsi="宋体" w:eastAsia="宋体" w:cs="宋体"/>
                        <w:sz w:val="24"/>
                        <w:szCs w:val="24"/>
                      </w:rPr>
                      <w:t xml:space="preserve">第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1C6025A"/>
    <w:rsid w:val="14590F41"/>
    <w:rsid w:val="204D5FEA"/>
    <w:rsid w:val="23E35802"/>
    <w:rsid w:val="2CFB0540"/>
    <w:rsid w:val="2E66183F"/>
    <w:rsid w:val="2E7C61BE"/>
    <w:rsid w:val="363870C8"/>
    <w:rsid w:val="3D8A4E0F"/>
    <w:rsid w:val="49076C9C"/>
    <w:rsid w:val="4D0E5F69"/>
    <w:rsid w:val="50BF5446"/>
    <w:rsid w:val="513E788B"/>
    <w:rsid w:val="59083EE3"/>
    <w:rsid w:val="6695125A"/>
    <w:rsid w:val="718C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38592</Words>
  <Characters>39557</Characters>
  <Lines>1</Lines>
  <Paragraphs>1</Paragraphs>
  <TotalTime>28</TotalTime>
  <ScaleCrop>false</ScaleCrop>
  <LinksUpToDate>false</LinksUpToDate>
  <CharactersWithSpaces>39569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木偶1379050603</cp:lastModifiedBy>
  <dcterms:modified xsi:type="dcterms:W3CDTF">2025-07-10T13:37:15Z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4BD60B0788374A668E340748A7E34CE4_12</vt:lpwstr>
  </property>
</Properties>
</file>