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CC641">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eastAsia="方正大标宋简体"/>
          <w:sz w:val="44"/>
        </w:rPr>
      </w:pPr>
    </w:p>
    <w:p w14:paraId="36CD06BE">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bottom"/>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东安县2022年1-6月预算执行情况的报告</w:t>
      </w:r>
    </w:p>
    <w:p w14:paraId="073402C1">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bCs/>
          <w:color w:val="auto"/>
          <w:spacing w:val="-17"/>
          <w:w w:val="90"/>
          <w:sz w:val="32"/>
          <w:szCs w:val="32"/>
          <w:lang w:val="en-US" w:eastAsia="zh-CN"/>
        </w:rPr>
      </w:pPr>
    </w:p>
    <w:p w14:paraId="1A94B809">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bCs/>
          <w:color w:val="auto"/>
          <w:spacing w:val="-17"/>
          <w:w w:val="90"/>
          <w:sz w:val="32"/>
          <w:szCs w:val="32"/>
          <w:lang w:val="en-US" w:eastAsia="zh-CN"/>
        </w:rPr>
      </w:pPr>
      <w:r>
        <w:rPr>
          <w:rFonts w:hint="eastAsia" w:ascii="楷体_GB2312" w:hAnsi="楷体_GB2312" w:eastAsia="楷体_GB2312" w:cs="楷体_GB2312"/>
          <w:b/>
          <w:bCs/>
          <w:color w:val="auto"/>
          <w:spacing w:val="-17"/>
          <w:w w:val="90"/>
          <w:sz w:val="32"/>
          <w:szCs w:val="32"/>
          <w:lang w:val="en-US" w:eastAsia="zh-CN"/>
        </w:rPr>
        <w:t>─2022年7月28日在东安县第十八届人民代表大会常务委员会第7次会议上</w:t>
      </w:r>
    </w:p>
    <w:p w14:paraId="292BAA23">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县财政局局长  谭  辉</w:t>
      </w:r>
    </w:p>
    <w:p w14:paraId="0BC0EA07">
      <w:pPr>
        <w:pStyle w:val="2"/>
        <w:rPr>
          <w:rFonts w:hint="eastAsia"/>
          <w:lang w:val="en-US" w:eastAsia="zh-CN"/>
        </w:rPr>
      </w:pPr>
    </w:p>
    <w:p w14:paraId="5DFB0895">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主任、各位副主任、各位委员</w:t>
      </w:r>
      <w:r>
        <w:rPr>
          <w:rFonts w:hint="eastAsia" w:ascii="仿宋_GB2312" w:hAnsi="仿宋_GB2312" w:eastAsia="仿宋_GB2312" w:cs="仿宋_GB2312"/>
          <w:color w:val="auto"/>
          <w:kern w:val="0"/>
          <w:sz w:val="32"/>
          <w:szCs w:val="32"/>
          <w:lang w:eastAsia="zh-CN"/>
        </w:rPr>
        <w:t>：</w:t>
      </w:r>
    </w:p>
    <w:p w14:paraId="6185A054">
      <w:pPr>
        <w:pStyle w:val="2"/>
        <w:ind w:firstLine="640" w:firstLineChars="200"/>
        <w:rPr>
          <w:rFonts w:hint="eastAsia"/>
          <w:lang w:eastAsia="zh-CN"/>
        </w:rPr>
      </w:pPr>
      <w:r>
        <w:rPr>
          <w:rFonts w:hint="eastAsia" w:ascii="仿宋_GB2312" w:hAnsi="仿宋_GB2312" w:eastAsia="仿宋_GB2312" w:cs="仿宋_GB2312"/>
          <w:color w:val="auto"/>
          <w:sz w:val="32"/>
          <w:szCs w:val="32"/>
          <w:lang w:eastAsia="zh-CN"/>
        </w:rPr>
        <w:t>受县人民政府的委托，现将202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1-6月预算执行情况</w:t>
      </w:r>
      <w:r>
        <w:rPr>
          <w:rFonts w:hint="eastAsia" w:ascii="仿宋_GB2312" w:hAnsi="仿宋_GB2312" w:eastAsia="仿宋_GB2312" w:cs="仿宋_GB2312"/>
          <w:color w:val="auto"/>
          <w:sz w:val="32"/>
          <w:szCs w:val="32"/>
          <w:lang w:eastAsia="zh-CN"/>
        </w:rPr>
        <w:t>汇报如下，请予审议。</w:t>
      </w:r>
    </w:p>
    <w:p w14:paraId="316211B7">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val="en-US" w:eastAsia="zh-CN"/>
        </w:rPr>
        <w:t>一、2022年1-6月</w:t>
      </w:r>
      <w:r>
        <w:rPr>
          <w:rFonts w:hint="eastAsia" w:ascii="黑体" w:hAnsi="黑体" w:eastAsia="黑体" w:cs="黑体"/>
          <w:color w:val="auto"/>
          <w:kern w:val="0"/>
          <w:sz w:val="32"/>
          <w:szCs w:val="32"/>
        </w:rPr>
        <w:t>预算执行情况</w:t>
      </w:r>
    </w:p>
    <w:p w14:paraId="45655D17">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lang w:eastAsia="zh-CN"/>
        </w:rPr>
      </w:pPr>
      <w:r>
        <w:rPr>
          <w:rFonts w:hint="eastAsia" w:ascii="楷体_GB2312" w:hAnsi="楷体_GB2312" w:eastAsia="楷体_GB2312" w:cs="楷体_GB2312"/>
          <w:b w:val="0"/>
          <w:bCs/>
          <w:color w:val="auto"/>
          <w:kern w:val="0"/>
          <w:sz w:val="32"/>
          <w:szCs w:val="32"/>
          <w:lang w:eastAsia="zh-CN"/>
        </w:rPr>
        <w:t>（一）</w:t>
      </w:r>
      <w:r>
        <w:rPr>
          <w:rFonts w:hint="eastAsia" w:ascii="楷体_GB2312" w:hAnsi="楷体_GB2312" w:eastAsia="楷体_GB2312" w:cs="楷体_GB2312"/>
          <w:b w:val="0"/>
          <w:bCs/>
          <w:color w:val="auto"/>
          <w:kern w:val="0"/>
          <w:sz w:val="32"/>
          <w:szCs w:val="32"/>
          <w:lang w:val="en-US" w:eastAsia="zh-CN"/>
        </w:rPr>
        <w:t>1-6月</w:t>
      </w:r>
      <w:r>
        <w:rPr>
          <w:rFonts w:hint="eastAsia" w:ascii="楷体_GB2312" w:hAnsi="楷体_GB2312" w:eastAsia="楷体_GB2312" w:cs="楷体_GB2312"/>
          <w:b w:val="0"/>
          <w:bCs/>
          <w:color w:val="auto"/>
          <w:kern w:val="0"/>
          <w:sz w:val="32"/>
          <w:szCs w:val="32"/>
          <w:lang w:eastAsia="zh-CN"/>
        </w:rPr>
        <w:t>财政收支完成情况</w:t>
      </w:r>
    </w:p>
    <w:p w14:paraId="627118F7">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财政收入完成情况：</w:t>
      </w:r>
      <w:r>
        <w:rPr>
          <w:rFonts w:hint="eastAsia" w:ascii="仿宋_GB2312" w:hAnsi="仿宋_GB2312" w:eastAsia="仿宋_GB2312" w:cs="仿宋_GB2312"/>
          <w:color w:val="auto"/>
          <w:kern w:val="0"/>
          <w:sz w:val="32"/>
          <w:szCs w:val="32"/>
          <w:lang w:val="en-US" w:eastAsia="zh-CN"/>
        </w:rPr>
        <w:t>2022年1-6月，全县财政总收入完成 83853万元，同比增长15.45%。其中：地方一般预算收入完成66485万元，同比增长13.37%。</w:t>
      </w:r>
    </w:p>
    <w:p w14:paraId="2C6EF3B9">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从</w:t>
      </w:r>
      <w:r>
        <w:rPr>
          <w:rFonts w:hint="eastAsia" w:ascii="仿宋_GB2312" w:hAnsi="仿宋_GB2312" w:eastAsia="仿宋_GB2312" w:cs="仿宋_GB2312"/>
          <w:color w:val="auto"/>
          <w:kern w:val="0"/>
          <w:sz w:val="32"/>
          <w:szCs w:val="32"/>
        </w:rPr>
        <w:t>财政收入结构看：</w:t>
      </w:r>
      <w:r>
        <w:rPr>
          <w:rFonts w:hint="eastAsia" w:ascii="仿宋_GB2312" w:hAnsi="仿宋_GB2312" w:eastAsia="仿宋_GB2312" w:cs="仿宋_GB2312"/>
          <w:color w:val="auto"/>
          <w:kern w:val="0"/>
          <w:sz w:val="32"/>
          <w:szCs w:val="32"/>
          <w:lang w:val="en-US" w:eastAsia="zh-CN"/>
        </w:rPr>
        <w:t>2022年1-6月，</w:t>
      </w:r>
      <w:r>
        <w:rPr>
          <w:rFonts w:hint="eastAsia" w:ascii="仿宋_GB2312" w:hAnsi="仿宋_GB2312" w:eastAsia="仿宋_GB2312" w:cs="仿宋_GB2312"/>
          <w:color w:val="auto"/>
          <w:kern w:val="0"/>
          <w:sz w:val="32"/>
          <w:szCs w:val="32"/>
          <w:lang w:eastAsia="zh-CN"/>
        </w:rPr>
        <w:t>全县</w:t>
      </w:r>
      <w:r>
        <w:rPr>
          <w:rFonts w:hint="eastAsia" w:ascii="仿宋_GB2312" w:hAnsi="仿宋_GB2312" w:eastAsia="仿宋_GB2312" w:cs="仿宋_GB2312"/>
          <w:color w:val="auto"/>
          <w:kern w:val="0"/>
          <w:sz w:val="32"/>
          <w:szCs w:val="32"/>
        </w:rPr>
        <w:t>税收收入完成</w:t>
      </w:r>
      <w:r>
        <w:rPr>
          <w:rFonts w:hint="eastAsia" w:ascii="仿宋_GB2312" w:hAnsi="仿宋_GB2312" w:eastAsia="仿宋_GB2312" w:cs="仿宋_GB2312"/>
          <w:color w:val="auto"/>
          <w:kern w:val="0"/>
          <w:sz w:val="32"/>
          <w:szCs w:val="32"/>
          <w:lang w:val="en-US" w:eastAsia="zh-CN"/>
        </w:rPr>
        <w:t>60953万</w:t>
      </w:r>
      <w:r>
        <w:rPr>
          <w:rFonts w:hint="eastAsia" w:ascii="仿宋_GB2312" w:hAnsi="仿宋_GB2312" w:eastAsia="仿宋_GB2312" w:cs="仿宋_GB2312"/>
          <w:color w:val="auto"/>
          <w:kern w:val="0"/>
          <w:sz w:val="32"/>
          <w:szCs w:val="32"/>
        </w:rPr>
        <w:t>元，</w:t>
      </w:r>
      <w:r>
        <w:rPr>
          <w:rFonts w:hint="eastAsia" w:ascii="仿宋_GB2312" w:hAnsi="仿宋_GB2312" w:eastAsia="仿宋_GB2312" w:cs="仿宋_GB2312"/>
          <w:color w:val="auto"/>
          <w:kern w:val="0"/>
          <w:sz w:val="32"/>
          <w:szCs w:val="32"/>
          <w:lang w:eastAsia="zh-CN"/>
        </w:rPr>
        <w:t>同比增长</w:t>
      </w:r>
      <w:r>
        <w:rPr>
          <w:rFonts w:hint="eastAsia" w:ascii="仿宋_GB2312" w:hAnsi="仿宋_GB2312" w:eastAsia="仿宋_GB2312" w:cs="仿宋_GB2312"/>
          <w:color w:val="auto"/>
          <w:kern w:val="0"/>
          <w:sz w:val="32"/>
          <w:szCs w:val="32"/>
          <w:lang w:val="en-US" w:eastAsia="zh-CN"/>
        </w:rPr>
        <w:t>20.63</w:t>
      </w:r>
      <w:r>
        <w:rPr>
          <w:rFonts w:hint="eastAsia" w:ascii="仿宋_GB2312" w:hAnsi="仿宋_GB2312" w:eastAsia="仿宋_GB2312" w:cs="仿宋_GB2312"/>
          <w:color w:val="auto"/>
          <w:kern w:val="0"/>
          <w:sz w:val="32"/>
          <w:szCs w:val="32"/>
        </w:rPr>
        <w:t>%，占财政收入的比重为</w:t>
      </w:r>
      <w:r>
        <w:rPr>
          <w:rFonts w:hint="eastAsia" w:ascii="仿宋_GB2312" w:hAnsi="仿宋_GB2312" w:eastAsia="仿宋_GB2312" w:cs="仿宋_GB2312"/>
          <w:color w:val="auto"/>
          <w:kern w:val="0"/>
          <w:sz w:val="32"/>
          <w:szCs w:val="32"/>
          <w:lang w:val="en-US" w:eastAsia="zh-CN"/>
        </w:rPr>
        <w:t>72.69</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同比增长</w:t>
      </w:r>
      <w:r>
        <w:rPr>
          <w:rFonts w:hint="eastAsia" w:ascii="仿宋_GB2312" w:hAnsi="仿宋_GB2312" w:eastAsia="仿宋_GB2312" w:cs="仿宋_GB2312"/>
          <w:color w:val="auto"/>
          <w:kern w:val="0"/>
          <w:sz w:val="32"/>
          <w:szCs w:val="32"/>
          <w:lang w:val="en-US" w:eastAsia="zh-CN"/>
        </w:rPr>
        <w:t>3.12</w:t>
      </w:r>
      <w:r>
        <w:rPr>
          <w:rFonts w:hint="eastAsia" w:ascii="仿宋_GB2312" w:hAnsi="仿宋_GB2312" w:eastAsia="仿宋_GB2312" w:cs="仿宋_GB2312"/>
          <w:color w:val="auto"/>
          <w:kern w:val="0"/>
          <w:sz w:val="32"/>
          <w:szCs w:val="32"/>
        </w:rPr>
        <w:t>个百分点</w:t>
      </w:r>
      <w:r>
        <w:rPr>
          <w:rFonts w:hint="eastAsia" w:ascii="仿宋_GB2312" w:hAnsi="仿宋_GB2312" w:eastAsia="仿宋_GB2312" w:cs="仿宋_GB2312"/>
          <w:color w:val="auto"/>
          <w:kern w:val="0"/>
          <w:sz w:val="32"/>
          <w:szCs w:val="32"/>
          <w:lang w:eastAsia="zh-CN"/>
        </w:rPr>
        <w:t>。其中：地方税收收入完成</w:t>
      </w:r>
      <w:r>
        <w:rPr>
          <w:rFonts w:hint="eastAsia" w:ascii="仿宋_GB2312" w:hAnsi="仿宋_GB2312" w:eastAsia="仿宋_GB2312" w:cs="仿宋_GB2312"/>
          <w:color w:val="auto"/>
          <w:kern w:val="0"/>
          <w:sz w:val="32"/>
          <w:szCs w:val="32"/>
          <w:lang w:val="en-US" w:eastAsia="zh-CN"/>
        </w:rPr>
        <w:t>43585亿元，同比增长19.26%，地方税收占地方一般预算收入比重为65.56%，较上年同期增长3.25个百分点。</w:t>
      </w:r>
      <w:r>
        <w:rPr>
          <w:rFonts w:hint="eastAsia" w:ascii="仿宋_GB2312" w:hAnsi="仿宋_GB2312" w:eastAsia="仿宋_GB2312" w:cs="仿宋_GB2312"/>
          <w:color w:val="auto"/>
          <w:kern w:val="0"/>
          <w:sz w:val="32"/>
          <w:szCs w:val="32"/>
        </w:rPr>
        <w:t>非税收入完成</w:t>
      </w:r>
      <w:r>
        <w:rPr>
          <w:rFonts w:hint="eastAsia" w:ascii="仿宋_GB2312" w:hAnsi="仿宋_GB2312" w:eastAsia="仿宋_GB2312" w:cs="仿宋_GB2312"/>
          <w:color w:val="auto"/>
          <w:kern w:val="0"/>
          <w:sz w:val="32"/>
          <w:szCs w:val="32"/>
          <w:lang w:val="en-US" w:eastAsia="zh-CN"/>
        </w:rPr>
        <w:t>22900万</w:t>
      </w:r>
      <w:r>
        <w:rPr>
          <w:rFonts w:hint="eastAsia" w:ascii="仿宋_GB2312" w:hAnsi="仿宋_GB2312" w:eastAsia="仿宋_GB2312" w:cs="仿宋_GB2312"/>
          <w:color w:val="auto"/>
          <w:kern w:val="0"/>
          <w:sz w:val="32"/>
          <w:szCs w:val="32"/>
        </w:rPr>
        <w:t>元，同比</w:t>
      </w:r>
      <w:r>
        <w:rPr>
          <w:rFonts w:hint="eastAsia" w:ascii="仿宋_GB2312" w:hAnsi="仿宋_GB2312" w:eastAsia="仿宋_GB2312" w:cs="仿宋_GB2312"/>
          <w:color w:val="auto"/>
          <w:kern w:val="0"/>
          <w:sz w:val="32"/>
          <w:szCs w:val="32"/>
          <w:lang w:eastAsia="zh-CN"/>
        </w:rPr>
        <w:t>增长</w:t>
      </w:r>
      <w:r>
        <w:rPr>
          <w:rFonts w:hint="eastAsia" w:ascii="仿宋_GB2312" w:hAnsi="仿宋_GB2312" w:eastAsia="仿宋_GB2312" w:cs="仿宋_GB2312"/>
          <w:color w:val="auto"/>
          <w:kern w:val="0"/>
          <w:sz w:val="32"/>
          <w:szCs w:val="32"/>
          <w:lang w:val="en-US" w:eastAsia="zh-CN"/>
        </w:rPr>
        <w:t>3.62</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w:t>
      </w:r>
    </w:p>
    <w:p w14:paraId="0427A1A0">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财政支出完成情况：</w:t>
      </w:r>
      <w:r>
        <w:rPr>
          <w:rFonts w:hint="eastAsia" w:ascii="仿宋_GB2312" w:hAnsi="仿宋_GB2312" w:eastAsia="仿宋_GB2312" w:cs="仿宋_GB2312"/>
          <w:color w:val="auto"/>
          <w:kern w:val="0"/>
          <w:sz w:val="32"/>
          <w:szCs w:val="32"/>
          <w:lang w:val="en-US" w:eastAsia="zh-CN"/>
        </w:rPr>
        <w:t>2022年1-6月，</w:t>
      </w:r>
      <w:r>
        <w:rPr>
          <w:rFonts w:hint="eastAsia" w:ascii="仿宋_GB2312" w:hAnsi="仿宋_GB2312" w:eastAsia="仿宋_GB2312" w:cs="仿宋_GB2312"/>
          <w:color w:val="auto"/>
          <w:kern w:val="0"/>
          <w:sz w:val="32"/>
          <w:szCs w:val="32"/>
        </w:rPr>
        <w:t>全县一般</w:t>
      </w:r>
      <w:r>
        <w:rPr>
          <w:rFonts w:hint="eastAsia" w:ascii="仿宋_GB2312" w:hAnsi="仿宋_GB2312" w:eastAsia="仿宋_GB2312" w:cs="仿宋_GB2312"/>
          <w:color w:val="auto"/>
          <w:kern w:val="0"/>
          <w:sz w:val="32"/>
          <w:szCs w:val="32"/>
          <w:lang w:eastAsia="zh-CN"/>
        </w:rPr>
        <w:t>公共</w:t>
      </w:r>
      <w:r>
        <w:rPr>
          <w:rFonts w:hint="eastAsia" w:ascii="仿宋_GB2312" w:hAnsi="仿宋_GB2312" w:eastAsia="仿宋_GB2312" w:cs="仿宋_GB2312"/>
          <w:color w:val="auto"/>
          <w:kern w:val="0"/>
          <w:sz w:val="32"/>
          <w:szCs w:val="32"/>
        </w:rPr>
        <w:t>预算支出完成</w:t>
      </w:r>
      <w:r>
        <w:rPr>
          <w:rFonts w:hint="eastAsia" w:ascii="仿宋_GB2312" w:hAnsi="仿宋_GB2312" w:eastAsia="仿宋_GB2312" w:cs="仿宋_GB2312"/>
          <w:color w:val="auto"/>
          <w:kern w:val="0"/>
          <w:sz w:val="32"/>
          <w:szCs w:val="32"/>
          <w:lang w:val="en-US" w:eastAsia="zh-CN"/>
        </w:rPr>
        <w:t>252205万</w:t>
      </w:r>
      <w:r>
        <w:rPr>
          <w:rFonts w:hint="eastAsia" w:ascii="仿宋_GB2312" w:hAnsi="仿宋_GB2312" w:eastAsia="仿宋_GB2312" w:cs="仿宋_GB2312"/>
          <w:color w:val="auto"/>
          <w:kern w:val="0"/>
          <w:sz w:val="32"/>
          <w:szCs w:val="32"/>
        </w:rPr>
        <w:t>元，</w:t>
      </w:r>
      <w:r>
        <w:rPr>
          <w:rFonts w:hint="eastAsia" w:ascii="仿宋_GB2312" w:hAnsi="仿宋_GB2312" w:eastAsia="仿宋_GB2312" w:cs="仿宋_GB2312"/>
          <w:color w:val="auto"/>
          <w:kern w:val="0"/>
          <w:sz w:val="32"/>
          <w:szCs w:val="32"/>
          <w:lang w:eastAsia="zh-CN"/>
        </w:rPr>
        <w:t>占年初预算的</w:t>
      </w:r>
      <w:r>
        <w:rPr>
          <w:rFonts w:hint="eastAsia" w:ascii="仿宋_GB2312" w:hAnsi="仿宋_GB2312" w:eastAsia="仿宋_GB2312" w:cs="仿宋_GB2312"/>
          <w:color w:val="auto"/>
          <w:kern w:val="0"/>
          <w:sz w:val="32"/>
          <w:szCs w:val="32"/>
          <w:lang w:val="en-US" w:eastAsia="zh-CN"/>
        </w:rPr>
        <w:t>63.02%，其中“三保”支出202968万元，占一般公共预算支出的80.47%，</w:t>
      </w:r>
      <w:r>
        <w:rPr>
          <w:rFonts w:hint="eastAsia" w:ascii="仿宋_GB2312" w:hAnsi="仿宋_GB2312" w:eastAsia="仿宋_GB2312" w:cs="仿宋_GB2312"/>
          <w:color w:val="auto"/>
          <w:kern w:val="0"/>
          <w:sz w:val="32"/>
          <w:szCs w:val="32"/>
        </w:rPr>
        <w:t>民生民本等重点支出</w:t>
      </w:r>
      <w:r>
        <w:rPr>
          <w:rFonts w:hint="eastAsia" w:ascii="仿宋_GB2312" w:hAnsi="仿宋_GB2312" w:eastAsia="仿宋_GB2312" w:cs="仿宋_GB2312"/>
          <w:color w:val="auto"/>
          <w:kern w:val="0"/>
          <w:sz w:val="32"/>
          <w:szCs w:val="32"/>
          <w:lang w:eastAsia="zh-CN"/>
        </w:rPr>
        <w:t>得到了有力保障</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 xml:space="preserve"> </w:t>
      </w:r>
    </w:p>
    <w:p w14:paraId="4294862F">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lang w:eastAsia="zh-CN"/>
        </w:rPr>
      </w:pPr>
      <w:r>
        <w:rPr>
          <w:rFonts w:hint="eastAsia" w:ascii="楷体_GB2312" w:hAnsi="楷体_GB2312" w:eastAsia="楷体_GB2312" w:cs="楷体_GB2312"/>
          <w:b w:val="0"/>
          <w:bCs/>
          <w:color w:val="auto"/>
          <w:kern w:val="0"/>
          <w:sz w:val="32"/>
          <w:szCs w:val="32"/>
          <w:lang w:eastAsia="zh-CN"/>
        </w:rPr>
        <w:t>（二）</w:t>
      </w:r>
      <w:r>
        <w:rPr>
          <w:rFonts w:hint="eastAsia" w:ascii="楷体_GB2312" w:hAnsi="楷体_GB2312" w:eastAsia="楷体_GB2312" w:cs="楷体_GB2312"/>
          <w:b w:val="0"/>
          <w:bCs/>
          <w:color w:val="auto"/>
          <w:kern w:val="0"/>
          <w:sz w:val="32"/>
          <w:szCs w:val="32"/>
          <w:lang w:val="en-US" w:eastAsia="zh-CN"/>
        </w:rPr>
        <w:t>1-6月</w:t>
      </w:r>
      <w:r>
        <w:rPr>
          <w:rFonts w:hint="eastAsia" w:ascii="楷体_GB2312" w:hAnsi="楷体_GB2312" w:eastAsia="楷体_GB2312" w:cs="楷体_GB2312"/>
          <w:b w:val="0"/>
          <w:bCs/>
          <w:color w:val="auto"/>
          <w:kern w:val="0"/>
          <w:sz w:val="32"/>
          <w:szCs w:val="32"/>
          <w:lang w:eastAsia="zh-CN"/>
        </w:rPr>
        <w:t>财政工作特点</w:t>
      </w:r>
    </w:p>
    <w:p w14:paraId="0FDC07F8">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w:t>
      </w:r>
      <w:r>
        <w:rPr>
          <w:rFonts w:hint="eastAsia" w:ascii="仿宋_GB2312" w:hAnsi="仿宋_GB2312" w:eastAsia="仿宋_GB2312" w:cs="仿宋_GB2312"/>
          <w:b/>
          <w:bCs/>
          <w:color w:val="auto"/>
          <w:kern w:val="0"/>
          <w:sz w:val="32"/>
          <w:szCs w:val="32"/>
        </w:rPr>
        <w:t>财政收入平稳增长，圆满完成双过半任务。</w:t>
      </w:r>
      <w:r>
        <w:rPr>
          <w:rFonts w:hint="eastAsia" w:ascii="仿宋_GB2312" w:hAnsi="仿宋_GB2312" w:eastAsia="仿宋_GB2312" w:cs="仿宋_GB2312"/>
          <w:color w:val="auto"/>
          <w:kern w:val="0"/>
          <w:sz w:val="32"/>
          <w:szCs w:val="32"/>
          <w:lang w:val="en-US" w:eastAsia="zh-CN"/>
        </w:rPr>
        <w:t>上半年，</w:t>
      </w:r>
      <w:r>
        <w:rPr>
          <w:rFonts w:hint="eastAsia" w:ascii="仿宋_GB2312" w:hAnsi="仿宋_GB2312" w:eastAsia="仿宋_GB2312" w:cs="仿宋_GB2312"/>
          <w:color w:val="auto"/>
          <w:kern w:val="0"/>
          <w:sz w:val="32"/>
          <w:szCs w:val="32"/>
        </w:rPr>
        <w:t>财税部门在县委、县政府的正确领导下，勤征细管，努力挖掘增收潜力，圆满完成上半年财政收入，为全年的财税工作打下良好的基础。1-6月，全县地方收入分别同比增长9.24%、8.67%、3.36%、7.05%、9.48%、</w:t>
      </w:r>
      <w:r>
        <w:rPr>
          <w:rFonts w:hint="eastAsia" w:ascii="仿宋_GB2312" w:hAnsi="仿宋_GB2312" w:eastAsia="仿宋_GB2312" w:cs="仿宋_GB2312"/>
          <w:color w:val="auto"/>
          <w:kern w:val="0"/>
          <w:sz w:val="32"/>
          <w:szCs w:val="32"/>
          <w:lang w:val="en-US" w:eastAsia="zh-CN"/>
        </w:rPr>
        <w:t>13.37</w:t>
      </w:r>
      <w:r>
        <w:rPr>
          <w:rFonts w:hint="eastAsia" w:ascii="仿宋_GB2312" w:hAnsi="仿宋_GB2312" w:eastAsia="仿宋_GB2312" w:cs="仿宋_GB2312"/>
          <w:color w:val="auto"/>
          <w:kern w:val="0"/>
          <w:sz w:val="32"/>
          <w:szCs w:val="32"/>
        </w:rPr>
        <w:t>%，地方收入增幅保持平稳增长态势。从完成进度看，地方一般公共预算收入完成数占年初预算的</w:t>
      </w:r>
      <w:r>
        <w:rPr>
          <w:rFonts w:hint="eastAsia" w:ascii="仿宋_GB2312" w:hAnsi="仿宋_GB2312" w:eastAsia="仿宋_GB2312" w:cs="仿宋_GB2312"/>
          <w:color w:val="auto"/>
          <w:kern w:val="0"/>
          <w:sz w:val="32"/>
          <w:szCs w:val="32"/>
          <w:lang w:val="en-US" w:eastAsia="zh-CN"/>
        </w:rPr>
        <w:t>58.77</w:t>
      </w:r>
      <w:r>
        <w:rPr>
          <w:rFonts w:hint="eastAsia" w:ascii="仿宋_GB2312" w:hAnsi="仿宋_GB2312" w:eastAsia="仿宋_GB2312" w:cs="仿宋_GB2312"/>
          <w:color w:val="auto"/>
          <w:kern w:val="0"/>
          <w:sz w:val="32"/>
          <w:szCs w:val="32"/>
        </w:rPr>
        <w:t>%，超时序进度</w:t>
      </w:r>
      <w:r>
        <w:rPr>
          <w:rFonts w:hint="eastAsia" w:ascii="仿宋_GB2312" w:hAnsi="仿宋_GB2312" w:eastAsia="仿宋_GB2312" w:cs="仿宋_GB2312"/>
          <w:color w:val="auto"/>
          <w:kern w:val="0"/>
          <w:sz w:val="32"/>
          <w:szCs w:val="32"/>
          <w:lang w:val="en-US" w:eastAsia="zh-CN"/>
        </w:rPr>
        <w:t>8.77</w:t>
      </w:r>
      <w:r>
        <w:rPr>
          <w:rFonts w:hint="eastAsia" w:ascii="仿宋_GB2312" w:hAnsi="仿宋_GB2312" w:eastAsia="仿宋_GB2312" w:cs="仿宋_GB2312"/>
          <w:color w:val="auto"/>
          <w:kern w:val="0"/>
          <w:sz w:val="32"/>
          <w:szCs w:val="32"/>
        </w:rPr>
        <w:t>个百分点。</w:t>
      </w:r>
    </w:p>
    <w:p w14:paraId="62CE3A28">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2.</w:t>
      </w:r>
      <w:r>
        <w:rPr>
          <w:rFonts w:hint="eastAsia" w:ascii="仿宋_GB2312" w:hAnsi="仿宋_GB2312" w:eastAsia="仿宋_GB2312" w:cs="仿宋_GB2312"/>
          <w:b/>
          <w:bCs/>
          <w:color w:val="auto"/>
          <w:kern w:val="0"/>
          <w:sz w:val="32"/>
          <w:szCs w:val="32"/>
          <w:lang w:eastAsia="zh-CN"/>
        </w:rPr>
        <w:t>加快支出进度，</w:t>
      </w:r>
      <w:r>
        <w:rPr>
          <w:rFonts w:hint="eastAsia" w:ascii="仿宋_GB2312" w:hAnsi="仿宋_GB2312" w:eastAsia="仿宋_GB2312" w:cs="仿宋_GB2312"/>
          <w:b/>
          <w:bCs/>
          <w:color w:val="auto"/>
          <w:kern w:val="0"/>
          <w:sz w:val="32"/>
          <w:szCs w:val="32"/>
        </w:rPr>
        <w:t>重点支出保障有力。</w:t>
      </w:r>
      <w:r>
        <w:rPr>
          <w:rFonts w:hint="eastAsia" w:ascii="仿宋_GB2312" w:hAnsi="仿宋_GB2312" w:eastAsia="仿宋_GB2312" w:cs="仿宋_GB2312"/>
          <w:color w:val="auto"/>
          <w:kern w:val="0"/>
          <w:sz w:val="32"/>
          <w:szCs w:val="32"/>
          <w:lang w:val="en-US" w:eastAsia="zh-CN"/>
        </w:rPr>
        <w:t>1-6月</w:t>
      </w:r>
      <w:r>
        <w:rPr>
          <w:rFonts w:hint="eastAsia" w:ascii="仿宋_GB2312" w:hAnsi="仿宋_GB2312" w:eastAsia="仿宋_GB2312" w:cs="仿宋_GB2312"/>
          <w:color w:val="auto"/>
          <w:kern w:val="0"/>
          <w:sz w:val="32"/>
          <w:szCs w:val="32"/>
        </w:rPr>
        <w:t>，财政部门在保障正常运转的基础上，大力优化支出次序，将事关民生民本的支出事项前移，加快资金拨付进度，促使财政支出向民生民本等重点支出倾斜。其中</w:t>
      </w:r>
      <w:r>
        <w:rPr>
          <w:rFonts w:hint="eastAsia" w:ascii="仿宋_GB2312" w:hAnsi="仿宋_GB2312" w:eastAsia="仿宋_GB2312" w:cs="仿宋_GB2312"/>
          <w:color w:val="auto"/>
          <w:kern w:val="0"/>
          <w:sz w:val="32"/>
          <w:szCs w:val="32"/>
          <w:lang w:eastAsia="zh-CN"/>
        </w:rPr>
        <w:t>教育、社保等七项公共服务支出完成</w:t>
      </w:r>
      <w:r>
        <w:rPr>
          <w:rFonts w:hint="eastAsia" w:ascii="仿宋_GB2312" w:hAnsi="仿宋_GB2312" w:eastAsia="仿宋_GB2312" w:cs="仿宋_GB2312"/>
          <w:color w:val="auto"/>
          <w:kern w:val="0"/>
          <w:sz w:val="32"/>
          <w:szCs w:val="32"/>
          <w:lang w:val="en-US" w:eastAsia="zh-CN"/>
        </w:rPr>
        <w:t>189553万元，按常住人口48.97万人计算，人均支出3871元，同比增长9.29%。</w:t>
      </w:r>
    </w:p>
    <w:p w14:paraId="0B74882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
          <w:bCs/>
          <w:color w:val="auto"/>
          <w:kern w:val="0"/>
          <w:sz w:val="32"/>
          <w:szCs w:val="32"/>
          <w:lang w:val="en-US" w:eastAsia="zh-CN"/>
        </w:rPr>
        <w:t>3.整合存量资金，提高资金使用效益。</w:t>
      </w:r>
      <w:r>
        <w:rPr>
          <w:rFonts w:hint="eastAsia" w:ascii="仿宋_GB2312" w:hAnsi="仿宋_GB2312" w:eastAsia="仿宋_GB2312" w:cs="仿宋_GB2312"/>
          <w:color w:val="auto"/>
          <w:kern w:val="0"/>
          <w:sz w:val="32"/>
          <w:szCs w:val="32"/>
          <w:lang w:val="en-US" w:eastAsia="zh-CN"/>
        </w:rPr>
        <w:t>加大存量资金清理，对结余资金和连续两年未用完的结转资金按规定收回统筹使用，对不足两年的结转资金中不需按原用途使用的资金收回统筹使用于稳经济发展的重点领域。2022年初盘活存量资金指标26953万元，2022年5月和审计部门一起，清理往来账户和代收代付账户3个，</w:t>
      </w:r>
      <w:r>
        <w:rPr>
          <w:rFonts w:hint="eastAsia" w:ascii="仿宋_GB2312" w:hAnsi="仿宋_GB2312" w:eastAsia="仿宋_GB2312" w:cs="仿宋_GB2312"/>
          <w:color w:val="auto"/>
          <w:kern w:val="0"/>
          <w:sz w:val="32"/>
          <w:szCs w:val="32"/>
          <w:lang w:eastAsia="zh-CN"/>
        </w:rPr>
        <w:t>盘活财政存量资金388</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lang w:eastAsia="zh-CN"/>
        </w:rPr>
        <w:t>万元，全部上缴金库，统筹用于民生民本等支出。</w:t>
      </w:r>
    </w:p>
    <w:p w14:paraId="248A30F6">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
          <w:bCs/>
          <w:color w:val="auto"/>
          <w:kern w:val="0"/>
          <w:sz w:val="32"/>
          <w:szCs w:val="32"/>
          <w:lang w:val="en-US" w:eastAsia="zh-CN"/>
        </w:rPr>
        <w:t>4.实施农业转移人口市民化财政政策。</w:t>
      </w:r>
      <w:r>
        <w:rPr>
          <w:rFonts w:hint="eastAsia" w:ascii="仿宋_GB2312" w:hAnsi="仿宋_GB2312" w:eastAsia="仿宋_GB2312" w:cs="仿宋_GB2312"/>
          <w:color w:val="auto"/>
          <w:kern w:val="0"/>
          <w:sz w:val="32"/>
          <w:szCs w:val="32"/>
          <w:lang w:val="en-US" w:eastAsia="zh-CN"/>
        </w:rPr>
        <w:t>东安县财政局</w:t>
      </w:r>
      <w:r>
        <w:rPr>
          <w:rFonts w:hint="eastAsia" w:ascii="仿宋_GB2312" w:hAnsi="仿宋_GB2312" w:eastAsia="仿宋_GB2312" w:cs="仿宋_GB2312"/>
          <w:color w:val="auto"/>
          <w:kern w:val="0"/>
          <w:sz w:val="32"/>
          <w:szCs w:val="32"/>
          <w:lang w:eastAsia="zh-CN"/>
        </w:rPr>
        <w:t>联合县自然资源局、住建局出台《关于商品房契税缴纳政府补贴办法的实施方案》，促进我县房地产市场平稳健康发展，使广大居民切实享受政策红利，鼓励农民进城购房，对凡在</w:t>
      </w:r>
      <w:r>
        <w:rPr>
          <w:rFonts w:hint="eastAsia" w:ascii="仿宋_GB2312" w:hAnsi="仿宋_GB2312" w:eastAsia="仿宋_GB2312" w:cs="仿宋_GB2312"/>
          <w:color w:val="auto"/>
          <w:kern w:val="0"/>
          <w:sz w:val="32"/>
          <w:szCs w:val="32"/>
          <w:lang w:val="en-US" w:eastAsia="zh-CN"/>
        </w:rPr>
        <w:t>2022年6月15日至2022年7月15日内</w:t>
      </w:r>
      <w:r>
        <w:rPr>
          <w:rFonts w:hint="eastAsia" w:ascii="仿宋_GB2312" w:hAnsi="仿宋_GB2312" w:eastAsia="仿宋_GB2312" w:cs="仿宋_GB2312"/>
          <w:color w:val="auto"/>
          <w:kern w:val="0"/>
          <w:sz w:val="32"/>
          <w:szCs w:val="32"/>
          <w:lang w:eastAsia="zh-CN"/>
        </w:rPr>
        <w:t>购买新建商品房的业主缴纳契税实施财政补贴，按购房者实际缴纳契税额度的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eastAsia="zh-CN"/>
        </w:rPr>
        <w:t>％给予补贴。</w:t>
      </w:r>
    </w:p>
    <w:p w14:paraId="2ED1524F">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5.加大企业帮扶力度，助企纾难解困强财源。</w:t>
      </w:r>
      <w:r>
        <w:rPr>
          <w:rFonts w:hint="eastAsia" w:ascii="仿宋_GB2312" w:hAnsi="仿宋_GB2312" w:eastAsia="仿宋_GB2312" w:cs="仿宋_GB2312"/>
          <w:color w:val="auto"/>
          <w:kern w:val="0"/>
          <w:sz w:val="32"/>
          <w:szCs w:val="32"/>
          <w:lang w:val="en-US" w:eastAsia="zh-CN"/>
        </w:rPr>
        <w:t>一是组织开展“稳住经济大盘、为企业纾难解困”等主题服务活动，通过进企业和集中兑现等形式，为33家企业兑现奖补资金7800万元，提振市场主体信心，为企业发展注入资金活力。二是积极推进国家减税降费政策，为市场主体纾困赋能。1-6月，东安县共办理增值税留抵退税45500万元；“六税两费”减免4647户次，金额333万元；制造业增值税缓缴364户次，金额2135万元。退税总量和进度排名全市第1。</w:t>
      </w:r>
    </w:p>
    <w:p w14:paraId="40F0EFA4">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lang w:eastAsia="zh-CN"/>
        </w:rPr>
      </w:pPr>
      <w:r>
        <w:rPr>
          <w:rFonts w:hint="eastAsia" w:ascii="楷体_GB2312" w:hAnsi="楷体_GB2312" w:eastAsia="楷体_GB2312" w:cs="楷体_GB2312"/>
          <w:b w:val="0"/>
          <w:bCs/>
          <w:color w:val="auto"/>
          <w:kern w:val="0"/>
          <w:sz w:val="32"/>
          <w:szCs w:val="32"/>
          <w:lang w:eastAsia="zh-CN"/>
        </w:rPr>
        <w:t>（三）</w:t>
      </w:r>
      <w:r>
        <w:rPr>
          <w:rFonts w:hint="eastAsia" w:ascii="楷体_GB2312" w:hAnsi="楷体_GB2312" w:eastAsia="楷体_GB2312" w:cs="楷体_GB2312"/>
          <w:b w:val="0"/>
          <w:bCs/>
          <w:color w:val="auto"/>
          <w:kern w:val="0"/>
          <w:sz w:val="32"/>
          <w:szCs w:val="32"/>
          <w:lang w:val="en-US" w:eastAsia="zh-CN"/>
        </w:rPr>
        <w:t>1-6月</w:t>
      </w:r>
      <w:r>
        <w:rPr>
          <w:rFonts w:hint="eastAsia" w:ascii="楷体_GB2312" w:hAnsi="楷体_GB2312" w:eastAsia="楷体_GB2312" w:cs="楷体_GB2312"/>
          <w:b w:val="0"/>
          <w:bCs/>
          <w:color w:val="auto"/>
          <w:kern w:val="0"/>
          <w:sz w:val="32"/>
          <w:szCs w:val="32"/>
          <w:lang w:eastAsia="zh-CN"/>
        </w:rPr>
        <w:t>预算执行过程中存在的主要问题</w:t>
      </w:r>
    </w:p>
    <w:p w14:paraId="1C451B6C">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1.财政收入方面。</w:t>
      </w:r>
      <w:r>
        <w:rPr>
          <w:rFonts w:hint="eastAsia" w:ascii="仿宋_GB2312" w:hAnsi="仿宋_GB2312" w:eastAsia="仿宋_GB2312" w:cs="仿宋_GB2312"/>
          <w:color w:val="auto"/>
          <w:kern w:val="0"/>
          <w:sz w:val="32"/>
          <w:szCs w:val="32"/>
        </w:rPr>
        <w:t>一是税收结构欠优。</w:t>
      </w:r>
      <w:r>
        <w:rPr>
          <w:rFonts w:hint="eastAsia" w:ascii="仿宋_GB2312" w:hAnsi="仿宋_GB2312" w:eastAsia="仿宋_GB2312" w:cs="仿宋_GB2312"/>
          <w:color w:val="auto"/>
          <w:kern w:val="0"/>
          <w:sz w:val="32"/>
          <w:szCs w:val="32"/>
          <w:lang w:val="en-US" w:eastAsia="zh-CN"/>
        </w:rPr>
        <w:t>我县税收收入对资产处置、土地四税税收依赖性较大，占地方税收的比重达70%以上，实体经济税收贡献较弱，税收可持续增长性不强。二是收入组织欠合力。各级各部门齐心抓收入的氛围不够，执收部门组织收入力度不大，加上进一步规范津补贴发放，取消部门收入征管绩效考核奖励，影响了各部门抓收入的积极性。三是土地出让效果不佳，部分已摘牌土地未足额入库。据统计，2022年上半年，全县社会资本摘牌6块工业及商住用地，成交价款仅1.1亿元，土地交易市场活跃度不高。再加上部分已摘牌土地未足额入库，截止6月底，历年累积共有11宗土地由社会资本摘牌后未缴足土地出让金，合计欠缴3.98亿元。</w:t>
      </w:r>
    </w:p>
    <w:p w14:paraId="5F2838C2">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2.跑项争资方面。</w:t>
      </w:r>
      <w:r>
        <w:rPr>
          <w:rFonts w:hint="eastAsia" w:ascii="仿宋_GB2312" w:hAnsi="仿宋_GB2312" w:eastAsia="仿宋_GB2312" w:cs="仿宋_GB2312"/>
          <w:color w:val="auto"/>
          <w:kern w:val="0"/>
          <w:sz w:val="32"/>
          <w:szCs w:val="32"/>
          <w:lang w:val="en-US" w:eastAsia="zh-CN"/>
        </w:rPr>
        <w:t>一是思想认识不到位。少数单位思想未统一到县委、县政府决策部署的大局上来，没有把跑项争资当作当前的核心工作，没有从根本上认识到跑项争资对全县经济社会发展的重要意义。二是政策信息掌握不及时。个别单位对上级政策信息的收集不及时，政策研究和分析不足，导致跑项争资效果不佳。三是部分项目前期准备不充分。部分建设项目的土地调规与审批、规划设计、施工预算等前期工作时限长，影响项目包装和向上争资。四是部门协调有待加强。部门之间向上争资协同意识不强，信息沟通不及时，政策理解不透彻，一定程度上影响了跑项争资效果。</w:t>
      </w:r>
    </w:p>
    <w:p w14:paraId="7A34E7CD">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3.专项债券方面。</w:t>
      </w:r>
      <w:r>
        <w:rPr>
          <w:rFonts w:hint="eastAsia" w:ascii="仿宋_GB2312" w:hAnsi="仿宋_GB2312" w:eastAsia="仿宋_GB2312" w:cs="仿宋_GB2312"/>
          <w:color w:val="auto"/>
          <w:kern w:val="0"/>
          <w:sz w:val="32"/>
          <w:szCs w:val="32"/>
          <w:lang w:val="en-US" w:eastAsia="zh-CN"/>
        </w:rPr>
        <w:t>一是专项债券项目储备不足，从已审核的2023年债券项目储备量来看，总体申报项目数量仅有9个。二是专项债券总量偏低，2022年争取专项债券4.86亿元，发行量全市排名第六，比2021年减少2.9亿元，下降37%。</w:t>
      </w:r>
    </w:p>
    <w:p w14:paraId="2EDC75BA">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二、完成2022年预算执行工作的主要措施</w:t>
      </w:r>
    </w:p>
    <w:p w14:paraId="24172C5D">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w:t>
      </w:r>
      <w:r>
        <w:rPr>
          <w:rFonts w:hint="eastAsia" w:ascii="仿宋_GB2312" w:hAnsi="仿宋_GB2312" w:eastAsia="仿宋_GB2312" w:cs="仿宋_GB2312"/>
          <w:b/>
          <w:bCs/>
          <w:color w:val="auto"/>
          <w:kern w:val="0"/>
          <w:sz w:val="32"/>
          <w:szCs w:val="32"/>
        </w:rPr>
        <w:t>加大政策宣传和落实力度。</w:t>
      </w:r>
      <w:r>
        <w:rPr>
          <w:rFonts w:hint="eastAsia" w:ascii="仿宋_GB2312" w:hAnsi="仿宋_GB2312" w:eastAsia="仿宋_GB2312" w:cs="仿宋_GB2312"/>
          <w:color w:val="auto"/>
          <w:kern w:val="0"/>
          <w:sz w:val="32"/>
          <w:szCs w:val="32"/>
        </w:rPr>
        <w:t>充分研究党中央、国务院稳经济一揽子政策措施，努力把每一项政策措施转化为推动经济发展的动力。一是全面落实好增值税留抵退税工作，一方面通过落实新增留抵退税和其他减税降费的实际减收取得中央大部分的补助，另一方面通过退税给企业实实在在的真金白银，为企业提供现金流，重振市场主体信心，激发市场活力，并为税收增收奠定扎实的基础。二是开展赴企宣传活动。做好《稳岗位提技能保就业十六条措施》及稳经济金融政策、稳产业链供应链等政策宣传工作，对县内符合条件的企业，进行惠企政策宣传和辅导，支持企业最大程度的享受政策红利，促进企业发展，稳定和扩大就业。三是促消费保民生。加大减征乘用车购置税</w:t>
      </w:r>
      <w:bookmarkStart w:id="0" w:name="_GoBack"/>
      <w:bookmarkEnd w:id="0"/>
      <w:r>
        <w:rPr>
          <w:rFonts w:hint="eastAsia" w:ascii="仿宋_GB2312" w:hAnsi="仿宋_GB2312" w:eastAsia="仿宋_GB2312" w:cs="仿宋_GB2312"/>
          <w:color w:val="auto"/>
          <w:kern w:val="0"/>
          <w:sz w:val="32"/>
          <w:szCs w:val="32"/>
        </w:rPr>
        <w:t>及县内房补政策的宣传</w:t>
      </w:r>
      <w:r>
        <w:rPr>
          <w:rFonts w:hint="eastAsia" w:ascii="仿宋_GB2312" w:hAnsi="仿宋_GB2312" w:eastAsia="仿宋_GB2312" w:cs="仿宋_GB2312"/>
          <w:color w:val="auto"/>
          <w:kern w:val="0"/>
          <w:sz w:val="32"/>
          <w:szCs w:val="32"/>
          <w:lang w:eastAsia="zh-CN"/>
        </w:rPr>
        <w:t>力度、</w:t>
      </w:r>
      <w:r>
        <w:rPr>
          <w:rFonts w:hint="eastAsia" w:ascii="仿宋_GB2312" w:hAnsi="仿宋_GB2312" w:eastAsia="仿宋_GB2312" w:cs="仿宋_GB2312"/>
          <w:color w:val="auto"/>
          <w:kern w:val="0"/>
          <w:sz w:val="32"/>
          <w:szCs w:val="32"/>
        </w:rPr>
        <w:t>鼓励行政事业单位提前发放节日慰问物资卡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采购食堂物资时优先采购本地农副产品</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统筹资金用于兑付县内企业的餐饮住宿费，以促进消费刺激经济增长。及时足额发放困难群众、优抚对象、残疾人补助救助资金，切实保障低收入群体生活。</w:t>
      </w:r>
    </w:p>
    <w:p w14:paraId="58078534">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2.</w:t>
      </w:r>
      <w:r>
        <w:rPr>
          <w:rFonts w:hint="default" w:ascii="仿宋_GB2312" w:hAnsi="仿宋_GB2312" w:eastAsia="仿宋_GB2312" w:cs="仿宋_GB2312"/>
          <w:b/>
          <w:bCs/>
          <w:color w:val="auto"/>
          <w:kern w:val="0"/>
          <w:sz w:val="32"/>
          <w:szCs w:val="32"/>
          <w:lang w:eastAsia="zh-CN"/>
        </w:rPr>
        <w:t>严控支出</w:t>
      </w:r>
      <w:r>
        <w:rPr>
          <w:rFonts w:hint="default" w:ascii="仿宋_GB2312" w:hAnsi="仿宋_GB2312" w:eastAsia="仿宋_GB2312" w:cs="仿宋_GB2312"/>
          <w:b/>
          <w:bCs/>
          <w:color w:val="auto"/>
          <w:kern w:val="0"/>
          <w:sz w:val="32"/>
          <w:szCs w:val="32"/>
        </w:rPr>
        <w:t>，</w:t>
      </w:r>
      <w:r>
        <w:rPr>
          <w:rFonts w:hint="default" w:ascii="仿宋_GB2312" w:hAnsi="仿宋_GB2312" w:eastAsia="仿宋_GB2312" w:cs="仿宋_GB2312"/>
          <w:b/>
          <w:bCs/>
          <w:color w:val="auto"/>
          <w:kern w:val="0"/>
          <w:sz w:val="32"/>
          <w:szCs w:val="32"/>
          <w:lang w:eastAsia="zh-CN"/>
        </w:rPr>
        <w:t>防范财政风险。</w:t>
      </w:r>
      <w:r>
        <w:rPr>
          <w:rFonts w:hint="default" w:ascii="仿宋_GB2312" w:hAnsi="仿宋_GB2312" w:eastAsia="仿宋_GB2312" w:cs="仿宋_GB2312"/>
          <w:color w:val="auto"/>
          <w:kern w:val="0"/>
          <w:sz w:val="32"/>
          <w:szCs w:val="32"/>
          <w:lang w:eastAsia="zh-CN"/>
        </w:rPr>
        <w:t>一是优化支出结构。</w:t>
      </w:r>
      <w:r>
        <w:rPr>
          <w:rFonts w:hint="default" w:ascii="仿宋_GB2312" w:hAnsi="仿宋_GB2312" w:eastAsia="仿宋_GB2312" w:cs="仿宋_GB2312"/>
          <w:color w:val="auto"/>
          <w:kern w:val="0"/>
          <w:sz w:val="32"/>
          <w:szCs w:val="32"/>
        </w:rPr>
        <w:t>进一步调整和优化财政支出结构，大力压缩一般性支出</w:t>
      </w:r>
      <w:r>
        <w:rPr>
          <w:rFonts w:hint="default" w:ascii="仿宋_GB2312" w:hAnsi="仿宋_GB2312" w:eastAsia="仿宋_GB2312" w:cs="仿宋_GB2312"/>
          <w:color w:val="auto"/>
          <w:kern w:val="0"/>
          <w:sz w:val="32"/>
          <w:szCs w:val="32"/>
          <w:lang w:eastAsia="zh-CN"/>
        </w:rPr>
        <w:t>、</w:t>
      </w:r>
      <w:r>
        <w:rPr>
          <w:rFonts w:hint="default" w:ascii="仿宋_GB2312" w:hAnsi="仿宋_GB2312" w:eastAsia="仿宋_GB2312" w:cs="仿宋_GB2312"/>
          <w:color w:val="auto"/>
          <w:kern w:val="0"/>
          <w:sz w:val="32"/>
          <w:szCs w:val="32"/>
        </w:rPr>
        <w:t>“三公”支出</w:t>
      </w:r>
      <w:r>
        <w:rPr>
          <w:rFonts w:hint="default" w:ascii="仿宋_GB2312" w:hAnsi="仿宋_GB2312" w:eastAsia="仿宋_GB2312" w:cs="仿宋_GB2312"/>
          <w:color w:val="auto"/>
          <w:kern w:val="0"/>
          <w:sz w:val="32"/>
          <w:szCs w:val="32"/>
          <w:lang w:eastAsia="zh-CN"/>
        </w:rPr>
        <w:t>和</w:t>
      </w:r>
      <w:r>
        <w:rPr>
          <w:rFonts w:hint="default" w:ascii="仿宋_GB2312" w:hAnsi="仿宋_GB2312" w:eastAsia="仿宋_GB2312" w:cs="仿宋_GB2312"/>
          <w:color w:val="auto"/>
          <w:kern w:val="0"/>
          <w:sz w:val="32"/>
          <w:szCs w:val="32"/>
        </w:rPr>
        <w:t>非刚性支出</w:t>
      </w:r>
      <w:r>
        <w:rPr>
          <w:rFonts w:hint="default" w:ascii="仿宋_GB2312" w:hAnsi="仿宋_GB2312" w:eastAsia="仿宋_GB2312" w:cs="仿宋_GB2312"/>
          <w:color w:val="auto"/>
          <w:kern w:val="0"/>
          <w:sz w:val="32"/>
          <w:szCs w:val="32"/>
          <w:lang w:eastAsia="zh-CN"/>
        </w:rPr>
        <w:t>。将</w:t>
      </w:r>
      <w:r>
        <w:rPr>
          <w:rFonts w:hint="default" w:ascii="仿宋_GB2312" w:hAnsi="仿宋_GB2312" w:eastAsia="仿宋_GB2312" w:cs="仿宋_GB2312"/>
          <w:color w:val="auto"/>
          <w:kern w:val="0"/>
          <w:sz w:val="32"/>
          <w:szCs w:val="32"/>
        </w:rPr>
        <w:t>新增财力的三分之二以上用于民生方面的支出</w:t>
      </w:r>
      <w:r>
        <w:rPr>
          <w:rFonts w:hint="default" w:ascii="仿宋_GB2312" w:hAnsi="仿宋_GB2312" w:eastAsia="仿宋_GB2312" w:cs="仿宋_GB2312"/>
          <w:color w:val="auto"/>
          <w:kern w:val="0"/>
          <w:sz w:val="32"/>
          <w:szCs w:val="32"/>
          <w:lang w:eastAsia="zh-CN"/>
        </w:rPr>
        <w:t>，确保人员工资增长需求，保障机构基本运转，保障社保等基本民生支出需要</w:t>
      </w:r>
      <w:r>
        <w:rPr>
          <w:rFonts w:hint="default" w:ascii="仿宋_GB2312" w:hAnsi="仿宋_GB2312" w:eastAsia="仿宋_GB2312" w:cs="仿宋_GB2312"/>
          <w:color w:val="auto"/>
          <w:kern w:val="0"/>
          <w:sz w:val="32"/>
          <w:szCs w:val="32"/>
        </w:rPr>
        <w:t>。</w:t>
      </w:r>
      <w:r>
        <w:rPr>
          <w:rFonts w:hint="default" w:ascii="仿宋_GB2312" w:hAnsi="仿宋_GB2312" w:eastAsia="仿宋_GB2312" w:cs="仿宋_GB2312"/>
          <w:color w:val="auto"/>
          <w:kern w:val="0"/>
          <w:sz w:val="32"/>
          <w:szCs w:val="32"/>
          <w:lang w:eastAsia="zh-CN"/>
        </w:rPr>
        <w:t>二是统筹财政资金。</w:t>
      </w:r>
      <w:r>
        <w:rPr>
          <w:rFonts w:hint="default" w:ascii="仿宋_GB2312" w:hAnsi="仿宋_GB2312" w:eastAsia="仿宋_GB2312" w:cs="仿宋_GB2312"/>
          <w:color w:val="auto"/>
          <w:kern w:val="0"/>
          <w:sz w:val="32"/>
          <w:szCs w:val="32"/>
        </w:rPr>
        <w:t>清理财政存量资金，统筹用于疫情防控</w:t>
      </w:r>
      <w:r>
        <w:rPr>
          <w:rFonts w:hint="default" w:ascii="仿宋_GB2312" w:hAnsi="仿宋_GB2312" w:eastAsia="仿宋_GB2312" w:cs="仿宋_GB2312"/>
          <w:color w:val="auto"/>
          <w:kern w:val="0"/>
          <w:sz w:val="32"/>
          <w:szCs w:val="32"/>
          <w:lang w:eastAsia="zh-CN"/>
        </w:rPr>
        <w:t>等应急性刚性支出</w:t>
      </w:r>
      <w:r>
        <w:rPr>
          <w:rFonts w:hint="default" w:ascii="仿宋_GB2312" w:hAnsi="仿宋_GB2312" w:eastAsia="仿宋_GB2312" w:cs="仿宋_GB2312"/>
          <w:color w:val="auto"/>
          <w:kern w:val="0"/>
          <w:sz w:val="32"/>
          <w:szCs w:val="32"/>
        </w:rPr>
        <w:t>。</w:t>
      </w:r>
      <w:r>
        <w:rPr>
          <w:rFonts w:hint="default" w:ascii="仿宋_GB2312" w:hAnsi="仿宋_GB2312" w:eastAsia="仿宋_GB2312" w:cs="仿宋_GB2312"/>
          <w:color w:val="auto"/>
          <w:kern w:val="0"/>
          <w:sz w:val="32"/>
          <w:szCs w:val="32"/>
          <w:lang w:eastAsia="zh-CN"/>
        </w:rPr>
        <w:t>三是加强库款管理。</w:t>
      </w:r>
      <w:r>
        <w:rPr>
          <w:rFonts w:hint="default" w:ascii="仿宋_GB2312" w:hAnsi="仿宋_GB2312" w:eastAsia="仿宋_GB2312" w:cs="仿宋_GB2312"/>
          <w:color w:val="auto"/>
          <w:kern w:val="0"/>
          <w:sz w:val="32"/>
          <w:szCs w:val="32"/>
        </w:rPr>
        <w:t>加强库款运行统计分析和监控，在“三保”未保的情况下，严禁将资金用于其他项目</w:t>
      </w:r>
      <w:r>
        <w:rPr>
          <w:rFonts w:hint="eastAsia" w:ascii="仿宋_GB2312" w:hAnsi="仿宋_GB2312" w:eastAsia="仿宋_GB2312" w:cs="仿宋_GB2312"/>
          <w:color w:val="auto"/>
          <w:kern w:val="0"/>
          <w:sz w:val="32"/>
          <w:szCs w:val="32"/>
          <w:lang w:eastAsia="zh-CN"/>
        </w:rPr>
        <w:t>，</w:t>
      </w:r>
      <w:r>
        <w:rPr>
          <w:rFonts w:hint="default" w:ascii="仿宋_GB2312" w:hAnsi="仿宋_GB2312" w:eastAsia="仿宋_GB2312" w:cs="仿宋_GB2312"/>
          <w:color w:val="auto"/>
          <w:kern w:val="0"/>
          <w:sz w:val="32"/>
          <w:szCs w:val="32"/>
        </w:rPr>
        <w:t>确保“三保”底线。</w:t>
      </w:r>
      <w:r>
        <w:rPr>
          <w:rFonts w:hint="default" w:ascii="仿宋_GB2312" w:hAnsi="仿宋_GB2312" w:eastAsia="仿宋_GB2312" w:cs="仿宋_GB2312"/>
          <w:color w:val="auto"/>
          <w:kern w:val="0"/>
          <w:sz w:val="32"/>
          <w:szCs w:val="32"/>
          <w:lang w:eastAsia="zh-CN"/>
        </w:rPr>
        <w:t>四是</w:t>
      </w:r>
      <w:r>
        <w:rPr>
          <w:rFonts w:hint="default" w:ascii="仿宋_GB2312" w:hAnsi="仿宋_GB2312" w:eastAsia="仿宋_GB2312" w:cs="仿宋_GB2312"/>
          <w:color w:val="auto"/>
          <w:kern w:val="0"/>
          <w:sz w:val="32"/>
          <w:szCs w:val="32"/>
        </w:rPr>
        <w:t>稳妥化债防范风险。统筹使用借新还旧、续发公司债券、盘活存量贷款、出售经营性资产等措施缓释平台公司债务风险，</w:t>
      </w:r>
      <w:r>
        <w:rPr>
          <w:rFonts w:hint="default" w:ascii="仿宋_GB2312" w:hAnsi="仿宋_GB2312" w:eastAsia="仿宋_GB2312" w:cs="仿宋_GB2312"/>
          <w:color w:val="auto"/>
          <w:kern w:val="0"/>
          <w:sz w:val="32"/>
          <w:szCs w:val="32"/>
          <w:lang w:eastAsia="zh-CN"/>
        </w:rPr>
        <w:t>安排资金</w:t>
      </w:r>
      <w:r>
        <w:rPr>
          <w:rFonts w:hint="default" w:ascii="仿宋_GB2312" w:hAnsi="仿宋_GB2312" w:eastAsia="仿宋_GB2312" w:cs="仿宋_GB2312"/>
          <w:color w:val="auto"/>
          <w:kern w:val="0"/>
          <w:sz w:val="32"/>
          <w:szCs w:val="32"/>
        </w:rPr>
        <w:t>及时兑付2022年政府债券利息。</w:t>
      </w:r>
    </w:p>
    <w:p w14:paraId="72268A60">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3.</w:t>
      </w:r>
      <w:r>
        <w:rPr>
          <w:rFonts w:hint="eastAsia" w:ascii="仿宋_GB2312" w:hAnsi="仿宋_GB2312" w:eastAsia="仿宋_GB2312" w:cs="仿宋_GB2312"/>
          <w:b/>
          <w:bCs/>
          <w:color w:val="auto"/>
          <w:kern w:val="0"/>
          <w:sz w:val="32"/>
          <w:szCs w:val="32"/>
        </w:rPr>
        <w:t>加大跑项争资力度。</w:t>
      </w:r>
      <w:r>
        <w:rPr>
          <w:rFonts w:hint="eastAsia" w:ascii="仿宋_GB2312" w:hAnsi="仿宋_GB2312" w:eastAsia="仿宋_GB2312" w:cs="仿宋_GB2312"/>
          <w:color w:val="auto"/>
          <w:kern w:val="0"/>
          <w:sz w:val="32"/>
          <w:szCs w:val="32"/>
          <w:lang w:val="en-US" w:eastAsia="zh-CN"/>
        </w:rPr>
        <w:t>一是要高度重视。各部门要树立发展意识、机遇意识和危机意识，把跑</w:t>
      </w:r>
      <w:r>
        <w:rPr>
          <w:rFonts w:hint="eastAsia" w:ascii="仿宋_GB2312" w:hAnsi="仿宋_GB2312" w:eastAsia="仿宋_GB2312" w:cs="仿宋_GB2312"/>
          <w:color w:val="auto"/>
          <w:kern w:val="0"/>
          <w:sz w:val="32"/>
          <w:szCs w:val="32"/>
          <w:lang w:eastAsia="zh-CN"/>
        </w:rPr>
        <w:t>项争资做为稳经济发展的重中之重，</w:t>
      </w:r>
      <w:r>
        <w:rPr>
          <w:rFonts w:hint="eastAsia" w:ascii="仿宋_GB2312" w:hAnsi="仿宋_GB2312" w:eastAsia="仿宋_GB2312" w:cs="仿宋_GB2312"/>
          <w:color w:val="auto"/>
          <w:kern w:val="0"/>
          <w:sz w:val="32"/>
          <w:szCs w:val="32"/>
        </w:rPr>
        <w:t>深研国家政策，准确把握中央资金投向，做好项目谋划、储备和上报，全力争取项目资金支持。</w:t>
      </w:r>
      <w:r>
        <w:rPr>
          <w:rFonts w:hint="eastAsia" w:ascii="仿宋_GB2312" w:hAnsi="仿宋_GB2312" w:eastAsia="仿宋_GB2312" w:cs="仿宋_GB2312"/>
          <w:color w:val="auto"/>
          <w:kern w:val="0"/>
          <w:sz w:val="32"/>
          <w:szCs w:val="32"/>
          <w:lang w:eastAsia="zh-CN"/>
        </w:rPr>
        <w:t>二是要积极了解信息。</w:t>
      </w:r>
      <w:r>
        <w:rPr>
          <w:rFonts w:hint="eastAsia" w:ascii="仿宋_GB2312" w:hAnsi="仿宋_GB2312" w:eastAsia="仿宋_GB2312" w:cs="仿宋_GB2312"/>
          <w:color w:val="auto"/>
          <w:kern w:val="0"/>
          <w:sz w:val="32"/>
          <w:szCs w:val="32"/>
        </w:rPr>
        <w:t>各职能部门一把手</w:t>
      </w:r>
      <w:r>
        <w:rPr>
          <w:rFonts w:hint="eastAsia" w:ascii="仿宋_GB2312" w:hAnsi="仿宋_GB2312" w:eastAsia="仿宋_GB2312" w:cs="仿宋_GB2312"/>
          <w:color w:val="auto"/>
          <w:kern w:val="0"/>
          <w:sz w:val="32"/>
          <w:szCs w:val="32"/>
          <w:lang w:eastAsia="zh-CN"/>
        </w:rPr>
        <w:t>进一步</w:t>
      </w:r>
      <w:r>
        <w:rPr>
          <w:rFonts w:hint="eastAsia" w:ascii="仿宋_GB2312" w:hAnsi="仿宋_GB2312" w:eastAsia="仿宋_GB2312" w:cs="仿宋_GB2312"/>
          <w:color w:val="auto"/>
          <w:kern w:val="0"/>
          <w:sz w:val="32"/>
          <w:szCs w:val="32"/>
        </w:rPr>
        <w:t>对接中央、省市相关部门，加强与上级部门的汇报沟通，及时掌握“一线消息”。</w:t>
      </w:r>
      <w:r>
        <w:rPr>
          <w:rFonts w:hint="eastAsia" w:ascii="仿宋_GB2312" w:hAnsi="仿宋_GB2312" w:eastAsia="仿宋_GB2312" w:cs="仿宋_GB2312"/>
          <w:color w:val="auto"/>
          <w:kern w:val="0"/>
          <w:sz w:val="32"/>
          <w:szCs w:val="32"/>
          <w:lang w:eastAsia="zh-CN"/>
        </w:rPr>
        <w:t>三是要发扬“盯字精神”，</w:t>
      </w:r>
      <w:r>
        <w:rPr>
          <w:rFonts w:hint="eastAsia" w:ascii="仿宋_GB2312" w:hAnsi="仿宋_GB2312" w:eastAsia="仿宋_GB2312" w:cs="仿宋_GB2312"/>
          <w:color w:val="auto"/>
          <w:kern w:val="0"/>
          <w:sz w:val="32"/>
          <w:szCs w:val="32"/>
          <w:lang w:val="en-US" w:eastAsia="zh-CN"/>
        </w:rPr>
        <w:t>紧盯宏观政策走向，紧盯目标任务，紧盯项目申报各个环节，确保项目落地达效。四是要强化部门协作。发改部门加强对项目单位的指导，建立申报项目数据库和台帐,密切关注国家和省投资方</w:t>
      </w:r>
      <w:r>
        <w:rPr>
          <w:rFonts w:hint="eastAsia" w:ascii="仿宋_GB2312" w:hAnsi="仿宋_GB2312" w:eastAsia="仿宋_GB2312" w:cs="仿宋_GB2312"/>
          <w:color w:val="auto"/>
          <w:kern w:val="0"/>
          <w:sz w:val="32"/>
          <w:szCs w:val="32"/>
        </w:rPr>
        <w:t>向，准确掌握信息,及时为项目单位传递相关政策，帮助包装、筛选、申报项目。住建、自然资源、水利、林业、生态环境等项目审批部门大开方便之门，在办理向上争资项目的各项审批手续时，简化手续，提高办事效率。财政部门安排必要的向上争资工作经费，保障前期工</w:t>
      </w:r>
      <w:r>
        <w:rPr>
          <w:rFonts w:hint="eastAsia" w:ascii="仿宋_GB2312" w:hAnsi="仿宋_GB2312" w:eastAsia="仿宋_GB2312" w:cs="仿宋_GB2312"/>
          <w:color w:val="auto"/>
          <w:kern w:val="0"/>
          <w:sz w:val="32"/>
          <w:szCs w:val="32"/>
          <w:lang w:val="en-US" w:eastAsia="zh-CN"/>
        </w:rPr>
        <w:t>作和向上争资工作顺利开展。</w:t>
      </w:r>
    </w:p>
    <w:p w14:paraId="106168E2">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4.进一步加快预算管理一体化系统建设。</w:t>
      </w:r>
      <w:r>
        <w:rPr>
          <w:rFonts w:hint="eastAsia" w:ascii="仿宋_GB2312" w:hAnsi="仿宋_GB2312" w:eastAsia="仿宋_GB2312" w:cs="仿宋_GB2312"/>
          <w:color w:val="auto"/>
          <w:kern w:val="0"/>
          <w:sz w:val="32"/>
          <w:szCs w:val="32"/>
          <w:lang w:val="en-US" w:eastAsia="zh-CN"/>
        </w:rPr>
        <w:t>充分利用好现代信息技术，构建“预算制度+信息技术”的管理机制，完善财政基础工作、加强对基础数据的管理能力，提升自己的看家本领，真正担负起财政预算管理职责；以信息技术手段规范财政管理程序，切实硬化预算约束，加大预算对各类公共资源的统筹能力，加强对预算支出的管理，充分使用好有限的财政资源，更加注重预算项目的质量和效益，把政府过紧日子的要求落实到位；以信息化手段实现政府预算、部门预算和单位预算之间的有效衔接控制，加强对部门和单位各项资金、资产、资源的统筹管理；以信息化手段驱动实现预算制度现代化，加快实现预算管理制度改革目标。</w:t>
      </w:r>
    </w:p>
    <w:p w14:paraId="5980D396">
      <w:pPr>
        <w:keepNext w:val="0"/>
        <w:keepLines w:val="0"/>
        <w:pageBreakBefore w:val="0"/>
        <w:kinsoku/>
        <w:wordWrap/>
        <w:overflowPunct/>
        <w:topLinePunct w:val="0"/>
        <w:autoSpaceDE/>
        <w:autoSpaceDN/>
        <w:bidi w:val="0"/>
        <w:adjustRightInd/>
        <w:snapToGrid/>
        <w:spacing w:line="540" w:lineRule="exact"/>
        <w:ind w:firstLine="640" w:firstLineChars="200"/>
        <w:textAlignment w:val="auto"/>
      </w:pPr>
      <w:r>
        <w:rPr>
          <w:rFonts w:hint="eastAsia" w:ascii="仿宋_GB2312" w:hAnsi="仿宋_GB2312" w:eastAsia="仿宋_GB2312" w:cs="仿宋_GB2312"/>
          <w:color w:val="auto"/>
          <w:kern w:val="0"/>
          <w:sz w:val="32"/>
          <w:szCs w:val="32"/>
        </w:rPr>
        <w:t>主任、各位副主任、各位委员，实现今年财政各项目标任务艰巨而繁重，我们全体财税工作人员将</w:t>
      </w:r>
      <w:r>
        <w:rPr>
          <w:rFonts w:hint="eastAsia" w:ascii="仿宋_GB2312" w:hAnsi="仿宋_GB2312" w:eastAsia="仿宋_GB2312" w:cs="仿宋_GB2312"/>
          <w:color w:val="auto"/>
          <w:kern w:val="0"/>
          <w:sz w:val="32"/>
          <w:szCs w:val="32"/>
          <w:lang w:eastAsia="zh-CN"/>
        </w:rPr>
        <w:t>全面落实“三高四新”战略定位和使命任务，深入实施“五五一</w:t>
      </w:r>
      <w:r>
        <w:rPr>
          <w:rFonts w:hint="default"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发展思路，</w:t>
      </w:r>
      <w:r>
        <w:rPr>
          <w:rFonts w:hint="eastAsia" w:ascii="仿宋_GB2312" w:hAnsi="仿宋_GB2312" w:eastAsia="仿宋_GB2312" w:cs="仿宋_GB2312"/>
          <w:color w:val="auto"/>
          <w:kern w:val="0"/>
          <w:sz w:val="32"/>
          <w:szCs w:val="32"/>
        </w:rPr>
        <w:t>在县委、县政府的正确领导下，在县人大依法监督及县政协民主监督和支持下，积极发挥</w:t>
      </w: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HYPERLINK "http://baike.sogou.com/lemma/ShowInnerLink.htm?lemmaId=452628&amp;ss_c=ssc.citiao.link"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财政职能</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作用，加强</w:t>
      </w: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HYPERLINK "http://baike.sogou.com/lemma/ShowInnerLink.htm?lemmaId=7849961&amp;ss_c=ssc.citiao.link"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财政预算管理</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，强化责任担当，主动作为，扎实做好财政改革发展各项工作，确保今年的财政工作目标任务圆满完成</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为我县经济社会发展作出新的更大的</w:t>
      </w:r>
      <w:r>
        <w:rPr>
          <w:rFonts w:hint="eastAsia" w:ascii="仿宋_GB2312" w:hAnsi="仿宋_GB2312" w:eastAsia="仿宋_GB2312" w:cs="仿宋_GB2312"/>
          <w:color w:val="auto"/>
          <w:kern w:val="0"/>
          <w:sz w:val="32"/>
          <w:szCs w:val="32"/>
          <w:lang w:eastAsia="zh-CN"/>
        </w:rPr>
        <w:t>贡</w:t>
      </w:r>
      <w:r>
        <w:rPr>
          <w:rFonts w:hint="eastAsia" w:ascii="仿宋_GB2312" w:hAnsi="仿宋_GB2312" w:eastAsia="仿宋_GB2312" w:cs="仿宋_GB2312"/>
          <w:color w:val="auto"/>
          <w:kern w:val="0"/>
          <w:sz w:val="32"/>
          <w:szCs w:val="32"/>
        </w:rPr>
        <w:t>献！</w:t>
      </w:r>
    </w:p>
    <w:sectPr>
      <w:footerReference r:id="rId3" w:type="default"/>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0C11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762A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3762A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MDk4YTQyMzE1ZDY1NjkyMDQxODYwZDVjZjVlYzgifQ=="/>
  </w:docVars>
  <w:rsids>
    <w:rsidRoot w:val="21672800"/>
    <w:rsid w:val="0D635825"/>
    <w:rsid w:val="13FC278A"/>
    <w:rsid w:val="21672800"/>
    <w:rsid w:val="25A12887"/>
    <w:rsid w:val="3DA7384C"/>
    <w:rsid w:val="3E3A43D5"/>
    <w:rsid w:val="3F9A6AC8"/>
    <w:rsid w:val="415F0477"/>
    <w:rsid w:val="66193732"/>
    <w:rsid w:val="737665E8"/>
    <w:rsid w:val="739514F0"/>
    <w:rsid w:val="76A00030"/>
    <w:rsid w:val="7A6530A2"/>
    <w:rsid w:val="7AC7526B"/>
    <w:rsid w:val="7F34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ind w:left="1680" w:leftChars="8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3448</Words>
  <Characters>3710</Characters>
  <Lines>0</Lines>
  <Paragraphs>0</Paragraphs>
  <TotalTime>2</TotalTime>
  <ScaleCrop>false</ScaleCrop>
  <LinksUpToDate>false</LinksUpToDate>
  <CharactersWithSpaces>3716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2022-07-05T08:53:00Z</dcterms:created>
  <dc:creator>Administrator</dc:creator>
  <cp:lastModifiedBy>WPS_1652411081</cp:lastModifiedBy>
  <dcterms:modified xsi:type="dcterms:W3CDTF">2025-08-11T02:37:51Z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89A79C572254425488B5221B95D3A609</vt:lpwstr>
  </property>
  <property fmtid="{D5CDD505-2E9C-101B-9397-08002B2CF9AE}" pid="4" name="KSOTemplateDocerSaveRecord">
    <vt:lpwstr>eyJoZGlkIjoiYTFjZmEyMjYwYjFjYjMwNjIwODYyMTM5YjI1MjUxNTMiLCJ1c2VySWQiOiIxMzY4MjYzNzgwIn0=</vt:lpwstr>
  </property>
</Properties>
</file>