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行政处罚决定书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 ）城罚决字〔 〕第 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当事人：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你（单位）于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（时间） </w:t>
      </w:r>
      <w:r>
        <w:rPr>
          <w:rFonts w:hint="eastAsia" w:ascii="仿宋_GB2312" w:hAnsi="仿宋_GB2312" w:eastAsia="仿宋_GB2312" w:cs="仿宋_GB2312"/>
          <w:sz w:val="32"/>
          <w:szCs w:val="32"/>
        </w:rPr>
        <w:t>实施了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的行为，涉嫌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，本机关于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日立案调查。 经查明,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（违法行为的时间、地点、情节、后果）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。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上述事实，由以下证据证实：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证据一：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，证明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； 证据二：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，证明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日，本机关依法向你（单位）送达了《行政处罚事先 （听证）告知书》（文号），告知你（单位）拟作出行政处罚决定的事 实、理由、依据及内容，并告知你（单位）依法享有的权利。你（单位） 在规定期限内未提出陈述、申辩［以及听证］要求。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［你（单位） 年 月 日向本机关提出陈述、申辩（听证要求）。 你（单位）辩称，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本机关认为，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（采纳或不采纳当事人陈述、申辩的理由）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， 故你（单位）的上述意见，本机关予以（未予）采信。］ 本机关认为，你（单位） 的行为，违反了 的规定，根据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__________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_______________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的规定，应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__________________________________________________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。 鉴于当事人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（自由裁量的情节与理由、危害程度、主观过错）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，根据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规定，对你（单位）作出如下行政处罚：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上述罚款，你（单位）应当自收到本处罚决定书之日起 15 日内，持本决定书，到指定银行 （账号： ） 缴纳。逾期不缴纳罚款的，本机关将根据《中华人民共和国行政处罚法》 第五十一条的规定，每日按罚款数额的百分之三加处罚款。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如不服本处罚决定，可以在收到本决定书之日起 60 日内向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东安县人民政府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申请行政复议；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 xml:space="preserve">但本决定不停止执行，法律另有规定的除外。逾期不申请 行政复议、不提起行政诉讼又不履行的，本机关将依法申请人民法院强 制执行或依照有关规定强制执行。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东安县城市管理和综合执法局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（印章）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047459"/>
    <w:rsid w:val="1E0A3CB1"/>
    <w:rsid w:val="21420DD4"/>
    <w:rsid w:val="36DF4F80"/>
    <w:rsid w:val="74047459"/>
    <w:rsid w:val="7B72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2020-11-11T02:45:00Z</dcterms:created>
  <dc:creator>1</dc:creator>
  <cp:lastModifiedBy>lenovo</cp:lastModifiedBy>
  <dcterms:modified xsi:type="dcterms:W3CDTF">2020-11-24T03:18:28Z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