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51D08">
      <w:pPr>
        <w:keepNext w:val="0"/>
        <w:keepLines w:val="0"/>
        <w:pageBreakBefore w:val="0"/>
        <w:widowControl w:val="0"/>
        <w:kinsoku/>
        <w:wordWrap/>
        <w:overflowPunct/>
        <w:topLinePunct w:val="0"/>
        <w:autoSpaceDE/>
        <w:autoSpaceDN/>
        <w:bidi w:val="0"/>
        <w:spacing w:line="540" w:lineRule="exact"/>
        <w:textAlignment w:val="auto"/>
        <w:rPr>
          <w:rFonts w:eastAsia="黑体"/>
          <w:sz w:val="32"/>
          <w:szCs w:val="32"/>
        </w:rPr>
      </w:pPr>
    </w:p>
    <w:p w14:paraId="6B8310E5">
      <w:pPr>
        <w:pStyle w:val="3"/>
        <w:keepNext w:val="0"/>
        <w:keepLines w:val="0"/>
        <w:pageBreakBefore w:val="0"/>
        <w:widowControl w:val="0"/>
        <w:kinsoku/>
        <w:wordWrap/>
        <w:overflowPunct/>
        <w:topLinePunct w:val="0"/>
        <w:autoSpaceDE/>
        <w:autoSpaceDN/>
        <w:bidi w:val="0"/>
        <w:spacing w:line="540" w:lineRule="exact"/>
        <w:textAlignment w:val="auto"/>
      </w:pPr>
    </w:p>
    <w:p w14:paraId="734E00B0">
      <w:pPr>
        <w:keepNext w:val="0"/>
        <w:keepLines w:val="0"/>
        <w:pageBreakBefore w:val="0"/>
        <w:widowControl w:val="0"/>
        <w:kinsoku/>
        <w:wordWrap/>
        <w:overflowPunct/>
        <w:topLinePunct w:val="0"/>
        <w:autoSpaceDE/>
        <w:autoSpaceDN/>
        <w:bidi w:val="0"/>
        <w:spacing w:line="540" w:lineRule="exact"/>
        <w:textAlignment w:val="auto"/>
        <w:rPr>
          <w:rFonts w:eastAsia="黑体"/>
          <w:sz w:val="32"/>
          <w:szCs w:val="32"/>
        </w:rPr>
      </w:pPr>
    </w:p>
    <w:p w14:paraId="10DEAEA9">
      <w:pPr>
        <w:keepNext w:val="0"/>
        <w:keepLines w:val="0"/>
        <w:pageBreakBefore w:val="0"/>
        <w:widowControl w:val="0"/>
        <w:kinsoku/>
        <w:wordWrap/>
        <w:overflowPunct/>
        <w:topLinePunct w:val="0"/>
        <w:autoSpaceDE/>
        <w:autoSpaceDN/>
        <w:bidi w:val="0"/>
        <w:spacing w:line="540" w:lineRule="exact"/>
        <w:textAlignment w:val="auto"/>
        <w:rPr>
          <w:rFonts w:eastAsia="黑体"/>
          <w:sz w:val="32"/>
          <w:szCs w:val="32"/>
        </w:rPr>
      </w:pPr>
    </w:p>
    <w:p w14:paraId="61D52145">
      <w:pPr>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年度</w:t>
      </w:r>
      <w:r>
        <w:rPr>
          <w:rFonts w:hint="eastAsia" w:ascii="方正小标宋简体" w:eastAsia="方正小标宋简体"/>
          <w:sz w:val="44"/>
          <w:szCs w:val="44"/>
          <w:lang w:val="en-US" w:eastAsia="zh-CN"/>
        </w:rPr>
        <w:t>东安县城市管理和综合执法局</w:t>
      </w:r>
    </w:p>
    <w:p w14:paraId="19D07D74">
      <w:pPr>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整体支出绩效自评报告</w:t>
      </w:r>
    </w:p>
    <w:p w14:paraId="4F04D166">
      <w:pPr>
        <w:keepNext w:val="0"/>
        <w:keepLines w:val="0"/>
        <w:pageBreakBefore w:val="0"/>
        <w:widowControl w:val="0"/>
        <w:kinsoku/>
        <w:wordWrap/>
        <w:overflowPunct/>
        <w:topLinePunct w:val="0"/>
        <w:autoSpaceDE/>
        <w:autoSpaceDN/>
        <w:bidi w:val="0"/>
        <w:spacing w:line="540" w:lineRule="exact"/>
        <w:jc w:val="center"/>
        <w:textAlignment w:val="auto"/>
        <w:rPr>
          <w:rFonts w:eastAsia="方正小标宋_GBK"/>
          <w:b/>
          <w:sz w:val="52"/>
          <w:szCs w:val="52"/>
        </w:rPr>
      </w:pPr>
    </w:p>
    <w:p w14:paraId="2F2B8E12">
      <w:pPr>
        <w:keepNext w:val="0"/>
        <w:keepLines w:val="0"/>
        <w:pageBreakBefore w:val="0"/>
        <w:widowControl w:val="0"/>
        <w:kinsoku/>
        <w:wordWrap/>
        <w:overflowPunct/>
        <w:topLinePunct w:val="0"/>
        <w:autoSpaceDE/>
        <w:autoSpaceDN/>
        <w:bidi w:val="0"/>
        <w:spacing w:line="540" w:lineRule="exact"/>
        <w:jc w:val="center"/>
        <w:textAlignment w:val="auto"/>
        <w:rPr>
          <w:rFonts w:eastAsia="楷体_GB2312"/>
          <w:b/>
          <w:sz w:val="32"/>
          <w:szCs w:val="32"/>
        </w:rPr>
      </w:pPr>
    </w:p>
    <w:p w14:paraId="510D7056">
      <w:pPr>
        <w:keepNext w:val="0"/>
        <w:keepLines w:val="0"/>
        <w:pageBreakBefore w:val="0"/>
        <w:widowControl w:val="0"/>
        <w:kinsoku/>
        <w:wordWrap/>
        <w:overflowPunct/>
        <w:topLinePunct w:val="0"/>
        <w:autoSpaceDE/>
        <w:autoSpaceDN/>
        <w:bidi w:val="0"/>
        <w:spacing w:line="540" w:lineRule="exact"/>
        <w:jc w:val="center"/>
        <w:textAlignment w:val="auto"/>
        <w:rPr>
          <w:rFonts w:eastAsia="楷体_GB2312"/>
          <w:b/>
          <w:sz w:val="32"/>
          <w:szCs w:val="32"/>
        </w:rPr>
      </w:pPr>
    </w:p>
    <w:p w14:paraId="5E3CC4ED">
      <w:pPr>
        <w:keepNext w:val="0"/>
        <w:keepLines w:val="0"/>
        <w:pageBreakBefore w:val="0"/>
        <w:widowControl w:val="0"/>
        <w:kinsoku/>
        <w:wordWrap/>
        <w:overflowPunct/>
        <w:topLinePunct w:val="0"/>
        <w:autoSpaceDE/>
        <w:autoSpaceDN/>
        <w:bidi w:val="0"/>
        <w:spacing w:line="540" w:lineRule="exact"/>
        <w:jc w:val="center"/>
        <w:textAlignment w:val="auto"/>
        <w:rPr>
          <w:rFonts w:eastAsia="楷体_GB2312"/>
          <w:b/>
          <w:sz w:val="32"/>
          <w:szCs w:val="32"/>
        </w:rPr>
      </w:pPr>
    </w:p>
    <w:p w14:paraId="3CB6F22C">
      <w:pPr>
        <w:keepNext w:val="0"/>
        <w:keepLines w:val="0"/>
        <w:pageBreakBefore w:val="0"/>
        <w:widowControl w:val="0"/>
        <w:kinsoku/>
        <w:wordWrap/>
        <w:overflowPunct/>
        <w:topLinePunct w:val="0"/>
        <w:autoSpaceDE/>
        <w:autoSpaceDN/>
        <w:bidi w:val="0"/>
        <w:spacing w:line="540" w:lineRule="exact"/>
        <w:jc w:val="center"/>
        <w:textAlignment w:val="auto"/>
        <w:rPr>
          <w:rFonts w:eastAsia="楷体_GB2312"/>
          <w:b/>
          <w:sz w:val="32"/>
          <w:szCs w:val="32"/>
        </w:rPr>
      </w:pPr>
    </w:p>
    <w:p w14:paraId="5747BA02">
      <w:pPr>
        <w:keepNext w:val="0"/>
        <w:keepLines w:val="0"/>
        <w:pageBreakBefore w:val="0"/>
        <w:widowControl w:val="0"/>
        <w:kinsoku/>
        <w:wordWrap/>
        <w:overflowPunct/>
        <w:topLinePunct w:val="0"/>
        <w:autoSpaceDE/>
        <w:autoSpaceDN/>
        <w:bidi w:val="0"/>
        <w:spacing w:line="540" w:lineRule="exact"/>
        <w:jc w:val="center"/>
        <w:textAlignment w:val="auto"/>
        <w:rPr>
          <w:rFonts w:eastAsia="楷体_GB2312"/>
          <w:b/>
          <w:sz w:val="32"/>
          <w:szCs w:val="32"/>
        </w:rPr>
      </w:pPr>
    </w:p>
    <w:p w14:paraId="4B4C6947">
      <w:pPr>
        <w:keepNext w:val="0"/>
        <w:keepLines w:val="0"/>
        <w:pageBreakBefore w:val="0"/>
        <w:widowControl w:val="0"/>
        <w:kinsoku/>
        <w:wordWrap/>
        <w:overflowPunct/>
        <w:topLinePunct w:val="0"/>
        <w:autoSpaceDE/>
        <w:autoSpaceDN/>
        <w:bidi w:val="0"/>
        <w:spacing w:line="540" w:lineRule="exact"/>
        <w:jc w:val="center"/>
        <w:textAlignment w:val="auto"/>
        <w:rPr>
          <w:rFonts w:eastAsia="楷体_GB2312"/>
          <w:b/>
          <w:sz w:val="32"/>
          <w:szCs w:val="32"/>
        </w:rPr>
      </w:pPr>
    </w:p>
    <w:p w14:paraId="4178A4BE">
      <w:pPr>
        <w:keepNext w:val="0"/>
        <w:keepLines w:val="0"/>
        <w:pageBreakBefore w:val="0"/>
        <w:widowControl w:val="0"/>
        <w:kinsoku/>
        <w:wordWrap/>
        <w:overflowPunct/>
        <w:topLinePunct w:val="0"/>
        <w:autoSpaceDE/>
        <w:autoSpaceDN/>
        <w:bidi w:val="0"/>
        <w:spacing w:line="540" w:lineRule="exact"/>
        <w:jc w:val="center"/>
        <w:textAlignment w:val="auto"/>
        <w:rPr>
          <w:rFonts w:eastAsia="黑体"/>
          <w:sz w:val="32"/>
          <w:szCs w:val="32"/>
        </w:rPr>
      </w:pPr>
    </w:p>
    <w:p w14:paraId="71616826">
      <w:pPr>
        <w:keepNext w:val="0"/>
        <w:keepLines w:val="0"/>
        <w:pageBreakBefore w:val="0"/>
        <w:widowControl w:val="0"/>
        <w:kinsoku/>
        <w:wordWrap/>
        <w:overflowPunct/>
        <w:topLinePunct w:val="0"/>
        <w:autoSpaceDE/>
        <w:autoSpaceDN/>
        <w:bidi w:val="0"/>
        <w:spacing w:line="540" w:lineRule="exact"/>
        <w:jc w:val="center"/>
        <w:textAlignment w:val="auto"/>
        <w:rPr>
          <w:rFonts w:eastAsia="黑体"/>
          <w:sz w:val="32"/>
          <w:szCs w:val="32"/>
        </w:rPr>
      </w:pPr>
    </w:p>
    <w:p w14:paraId="6BBDD543">
      <w:pPr>
        <w:keepNext w:val="0"/>
        <w:keepLines w:val="0"/>
        <w:pageBreakBefore w:val="0"/>
        <w:widowControl w:val="0"/>
        <w:kinsoku/>
        <w:wordWrap/>
        <w:overflowPunct/>
        <w:topLinePunct w:val="0"/>
        <w:autoSpaceDE/>
        <w:autoSpaceDN/>
        <w:bidi w:val="0"/>
        <w:spacing w:line="540" w:lineRule="exact"/>
        <w:jc w:val="center"/>
        <w:textAlignment w:val="auto"/>
        <w:rPr>
          <w:rFonts w:hint="default" w:eastAsia="仿宋_GB2312"/>
          <w:sz w:val="32"/>
          <w:szCs w:val="32"/>
          <w:u w:val="single"/>
          <w:lang w:val="en-US" w:eastAsia="zh-CN"/>
        </w:rPr>
      </w:pPr>
      <w:r>
        <w:rPr>
          <w:rFonts w:eastAsia="仿宋_GB2312"/>
          <w:sz w:val="32"/>
          <w:szCs w:val="32"/>
        </w:rPr>
        <w:t>单位名称：</w:t>
      </w:r>
      <w:r>
        <w:rPr>
          <w:rFonts w:hint="eastAsia" w:eastAsia="仿宋_GB2312"/>
          <w:sz w:val="32"/>
          <w:szCs w:val="32"/>
          <w:u w:val="single"/>
          <w:lang w:val="en-US" w:eastAsia="zh-CN"/>
        </w:rPr>
        <w:t>东安县城市管理和综合执法局</w:t>
      </w:r>
    </w:p>
    <w:p w14:paraId="0E9CC873">
      <w:pPr>
        <w:keepNext w:val="0"/>
        <w:keepLines w:val="0"/>
        <w:pageBreakBefore w:val="0"/>
        <w:widowControl w:val="0"/>
        <w:kinsoku/>
        <w:wordWrap/>
        <w:overflowPunct/>
        <w:topLinePunct w:val="0"/>
        <w:autoSpaceDE/>
        <w:autoSpaceDN/>
        <w:bidi w:val="0"/>
        <w:spacing w:line="540" w:lineRule="exact"/>
        <w:ind w:firstLine="3200" w:firstLineChars="1000"/>
        <w:textAlignment w:val="auto"/>
        <w:rPr>
          <w:rFonts w:eastAsia="楷体_GB2312"/>
          <w:sz w:val="32"/>
          <w:szCs w:val="32"/>
        </w:rPr>
      </w:pPr>
      <w:r>
        <w:rPr>
          <w:rFonts w:hint="eastAsia" w:eastAsia="楷体_GB2312"/>
          <w:sz w:val="32"/>
          <w:szCs w:val="32"/>
          <w:lang w:val="en-US" w:eastAsia="zh-CN"/>
        </w:rPr>
        <w:t>2025</w:t>
      </w:r>
      <w:r>
        <w:rPr>
          <w:rFonts w:eastAsia="楷体_GB2312"/>
          <w:sz w:val="32"/>
          <w:szCs w:val="32"/>
        </w:rPr>
        <w:t xml:space="preserve">年 </w:t>
      </w:r>
      <w:r>
        <w:rPr>
          <w:rFonts w:hint="eastAsia" w:eastAsia="楷体_GB2312"/>
          <w:sz w:val="32"/>
          <w:szCs w:val="32"/>
          <w:lang w:val="en-US" w:eastAsia="zh-CN"/>
        </w:rPr>
        <w:t>4</w:t>
      </w:r>
      <w:r>
        <w:rPr>
          <w:rFonts w:eastAsia="楷体_GB2312"/>
          <w:sz w:val="32"/>
          <w:szCs w:val="32"/>
        </w:rPr>
        <w:t xml:space="preserve"> 月 </w:t>
      </w:r>
      <w:r>
        <w:rPr>
          <w:rFonts w:hint="eastAsia" w:eastAsia="楷体_GB2312"/>
          <w:sz w:val="32"/>
          <w:szCs w:val="32"/>
          <w:lang w:val="en-US" w:eastAsia="zh-CN"/>
        </w:rPr>
        <w:t>15</w:t>
      </w:r>
      <w:r>
        <w:rPr>
          <w:rFonts w:eastAsia="楷体_GB2312"/>
          <w:sz w:val="32"/>
          <w:szCs w:val="32"/>
        </w:rPr>
        <w:t xml:space="preserve"> 日</w:t>
      </w:r>
    </w:p>
    <w:p w14:paraId="0D8F6C91">
      <w:pPr>
        <w:keepNext w:val="0"/>
        <w:keepLines w:val="0"/>
        <w:pageBreakBefore w:val="0"/>
        <w:widowControl w:val="0"/>
        <w:kinsoku/>
        <w:wordWrap/>
        <w:overflowPunct/>
        <w:topLinePunct w:val="0"/>
        <w:autoSpaceDE/>
        <w:autoSpaceDN/>
        <w:bidi w:val="0"/>
        <w:spacing w:line="540" w:lineRule="exact"/>
        <w:jc w:val="center"/>
        <w:textAlignment w:val="auto"/>
        <w:rPr>
          <w:rFonts w:eastAsia="黑体"/>
          <w:sz w:val="32"/>
          <w:szCs w:val="32"/>
        </w:rPr>
      </w:pPr>
    </w:p>
    <w:p w14:paraId="59F6E6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2B1C582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（一）部门（单位）职能职责、机构编制、人员构成等。</w:t>
      </w:r>
    </w:p>
    <w:p w14:paraId="086CD3F7">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pPr>
      <w:r>
        <w:rPr>
          <w:rFonts w:hint="eastAsia" w:ascii="仿宋_GB2312" w:eastAsia="仿宋_GB2312"/>
          <w:sz w:val="30"/>
          <w:szCs w:val="30"/>
        </w:rPr>
        <w:t>东安县城市管理和综合执法局成立于2003年，其主要职能是：</w:t>
      </w:r>
    </w:p>
    <w:p w14:paraId="1E776277">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1、负责制定全县城市管理和综合执法中长期发展规划、专项规划、并组织实施。</w:t>
      </w:r>
      <w:r>
        <w:rPr>
          <w:rFonts w:hint="default" w:ascii="仿宋_GB2312" w:eastAsia="仿宋_GB2312"/>
          <w:sz w:val="30"/>
          <w:szCs w:val="30"/>
        </w:rPr>
        <w:t xml:space="preserve"> </w:t>
      </w:r>
    </w:p>
    <w:p w14:paraId="34B76F7D">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2、负责组织县城市政公用事业管理工作。负责组织实施国家制定的城市市容环卫、园林绿化、户外广告、城市照明、城市道路、桥涵、燃气热力、给排水、污水处理、垃圾处理等市政公用设施的标准定额和行业规范。</w:t>
      </w:r>
      <w:r>
        <w:rPr>
          <w:rFonts w:hint="default" w:ascii="仿宋_GB2312" w:eastAsia="仿宋_GB2312"/>
          <w:sz w:val="30"/>
          <w:szCs w:val="30"/>
        </w:rPr>
        <w:t xml:space="preserve"> </w:t>
      </w:r>
    </w:p>
    <w:p w14:paraId="5584AC26">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3、负责制定县城环境卫生、给排水、污水处理、垃圾处理、园林绿化工作和市政公用设施维护的年度发展规划，并组织实施。负责县城挖掘和占用城市道路、占用城市公共场所等的行政审批工作。</w:t>
      </w:r>
      <w:r>
        <w:rPr>
          <w:rFonts w:hint="default" w:ascii="仿宋_GB2312" w:eastAsia="仿宋_GB2312"/>
          <w:sz w:val="30"/>
          <w:szCs w:val="30"/>
        </w:rPr>
        <w:t xml:space="preserve"> </w:t>
      </w:r>
    </w:p>
    <w:p w14:paraId="5D7D0668">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4、负责参与县城区户外广告专项规划编制。负责审批县城区大型户外广告设置。负责城区户外广告、车身广告、标语牌、霓虹灯、画廊、橱窗等场地的规划制定，组织实施拍卖、招租等具体管理行为。</w:t>
      </w:r>
      <w:r>
        <w:rPr>
          <w:rFonts w:hint="default" w:ascii="仿宋_GB2312" w:eastAsia="仿宋_GB2312"/>
          <w:sz w:val="30"/>
          <w:szCs w:val="30"/>
        </w:rPr>
        <w:t xml:space="preserve"> </w:t>
      </w:r>
    </w:p>
    <w:p w14:paraId="271208E3">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5、负责县城区废弃物（生活垃圾、建筑垃圾、渣土、餐厨垃圾、污水)的处置管理工作。</w:t>
      </w:r>
      <w:r>
        <w:rPr>
          <w:rFonts w:hint="default" w:ascii="仿宋_GB2312" w:eastAsia="仿宋_GB2312"/>
          <w:sz w:val="30"/>
          <w:szCs w:val="30"/>
        </w:rPr>
        <w:t xml:space="preserve"> </w:t>
      </w:r>
    </w:p>
    <w:p w14:paraId="1E40E185">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6、负责全县燃气经营许可工作。负责全县燃气热力管理工作（包括燃气安全管理、资质管理、器具经营管理和安装使用维修监督管理工作)，规范燃气热力市场。</w:t>
      </w:r>
      <w:r>
        <w:rPr>
          <w:rFonts w:hint="default" w:ascii="仿宋_GB2312" w:eastAsia="仿宋_GB2312"/>
          <w:sz w:val="30"/>
          <w:szCs w:val="30"/>
        </w:rPr>
        <w:t xml:space="preserve"> </w:t>
      </w:r>
    </w:p>
    <w:p w14:paraId="55CED9D6">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7、负责会同有关部门共同编制城区绿化规划，经批准后组织实施；参加工程建设项目附属绿化工程设计方案的审查。</w:t>
      </w:r>
      <w:r>
        <w:rPr>
          <w:rFonts w:hint="default" w:ascii="仿宋_GB2312" w:eastAsia="仿宋_GB2312"/>
          <w:sz w:val="30"/>
          <w:szCs w:val="30"/>
        </w:rPr>
        <w:t xml:space="preserve"> </w:t>
      </w:r>
    </w:p>
    <w:p w14:paraId="72665D54">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8、负责城区园林绿化管理（包括城市园林绿化、各类绿地、城市雕塑、公园、苗圃的保护和管理)等工作；负责城区改变绿化规划、绿化用地性质的审批以及临时占用城市绿地的审批工作；负责城区古树名木的保护工作和古树名木迁移审批。</w:t>
      </w:r>
      <w:r>
        <w:rPr>
          <w:rFonts w:hint="default" w:ascii="仿宋_GB2312" w:eastAsia="仿宋_GB2312"/>
          <w:sz w:val="30"/>
          <w:szCs w:val="30"/>
        </w:rPr>
        <w:t xml:space="preserve"> </w:t>
      </w:r>
    </w:p>
    <w:p w14:paraId="42D6BBC3">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9、负责智慧城管建设和管理工作。</w:t>
      </w:r>
      <w:r>
        <w:rPr>
          <w:rFonts w:hint="default" w:ascii="仿宋_GB2312" w:eastAsia="仿宋_GB2312"/>
          <w:sz w:val="30"/>
          <w:szCs w:val="30"/>
        </w:rPr>
        <w:t xml:space="preserve"> </w:t>
      </w:r>
    </w:p>
    <w:p w14:paraId="266255C5">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10、负责制定县城区市容环境卫生管理工作的相关规章制度。</w:t>
      </w:r>
      <w:r>
        <w:rPr>
          <w:rFonts w:hint="default" w:ascii="仿宋_GB2312" w:eastAsia="仿宋_GB2312"/>
          <w:sz w:val="30"/>
          <w:szCs w:val="30"/>
        </w:rPr>
        <w:t xml:space="preserve"> </w:t>
      </w:r>
    </w:p>
    <w:p w14:paraId="56449887">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11、负责城区给排水和计划用水、节约用水管理工作；负责城市排水许可证审定核发；负责城区公共供水的水质监测，管理城区污水处理工作和污水管道维修工作。</w:t>
      </w:r>
      <w:r>
        <w:rPr>
          <w:rFonts w:hint="default" w:ascii="仿宋_GB2312" w:eastAsia="仿宋_GB2312"/>
          <w:sz w:val="30"/>
          <w:szCs w:val="30"/>
        </w:rPr>
        <w:t xml:space="preserve"> </w:t>
      </w:r>
    </w:p>
    <w:p w14:paraId="3B6B07C0">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12、负责局机关和所属单位的干部人事、劳动工资、机构编制、退（离）休人员管理服务工作；负责局机关和所属单位的党群工作、纪检监察工作、精神文明建设和职工队伍建设。</w:t>
      </w:r>
      <w:r>
        <w:rPr>
          <w:rFonts w:hint="default" w:ascii="仿宋_GB2312" w:eastAsia="仿宋_GB2312"/>
          <w:sz w:val="30"/>
          <w:szCs w:val="30"/>
        </w:rPr>
        <w:t xml:space="preserve"> </w:t>
      </w:r>
    </w:p>
    <w:p w14:paraId="0BA1ED4D">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13、负责受理群众对城市管理工作的投诉或建议，并负责处理和解决。</w:t>
      </w:r>
      <w:r>
        <w:rPr>
          <w:rFonts w:hint="default" w:ascii="仿宋_GB2312" w:eastAsia="仿宋_GB2312"/>
          <w:sz w:val="30"/>
          <w:szCs w:val="30"/>
        </w:rPr>
        <w:t xml:space="preserve"> </w:t>
      </w:r>
    </w:p>
    <w:p w14:paraId="0E1ADC81">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14、行使市容环境卫生管理方面法律、法规、规章规定的行政处罚权；行使城市公用事业管理方面（给排水、市政设施、园林绿化、照明设施、燃气等)法律、法规、规章规定属城市公共管理领域的行政处罚权；行使城市建筑垃圾（渣土）和生活垃圾处置管理的行政处罚权。</w:t>
      </w:r>
      <w:r>
        <w:rPr>
          <w:rFonts w:hint="default" w:ascii="仿宋_GB2312" w:eastAsia="仿宋_GB2312"/>
          <w:sz w:val="30"/>
          <w:szCs w:val="30"/>
        </w:rPr>
        <w:t xml:space="preserve"> </w:t>
      </w:r>
    </w:p>
    <w:p w14:paraId="51C8866A">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15、行使城乡规划管理方面法律、法规、规章规定的对规划区内国有土地上未依法取得建设工程规划许可的建（构）筑物的行政处罚权；行使环境保护管理方面法律、法规、规章规定的辖区内城市社会生活噪声污染、建筑施工扬尘污染、餐饮服务业油烟污染、露天烧烤、焚烧秸秆落叶等烟尘污染、城市燃放烟花爆竹污染的行政处罚权。</w:t>
      </w:r>
      <w:r>
        <w:rPr>
          <w:rFonts w:hint="default" w:ascii="仿宋_GB2312" w:eastAsia="仿宋_GB2312"/>
          <w:sz w:val="30"/>
          <w:szCs w:val="30"/>
        </w:rPr>
        <w:t xml:space="preserve"> </w:t>
      </w:r>
    </w:p>
    <w:p w14:paraId="7E3E1A9E">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16、行使工商行政管理方面法律、法规、规章规定的县城区户外公共场所无照经营、违规设置户外广告的行政处罚权；行使县城区内户外公共场所食品销售和餐饮摊点无证经营，以及违法回收贩卖药品等食品药品监督管理方面的行政处罚权。</w:t>
      </w:r>
      <w:r>
        <w:rPr>
          <w:rFonts w:hint="default" w:ascii="仿宋_GB2312" w:eastAsia="仿宋_GB2312"/>
          <w:sz w:val="30"/>
          <w:szCs w:val="30"/>
        </w:rPr>
        <w:t xml:space="preserve"> </w:t>
      </w:r>
    </w:p>
    <w:p w14:paraId="1A9897A5">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17、行使城区内向城市河道和其他水域倾倒废弃物和垃圾以及违规取土、城市河道违法建筑物拆除等水务管理方面的行政处罚权。</w:t>
      </w:r>
      <w:r>
        <w:rPr>
          <w:rFonts w:hint="default" w:ascii="仿宋_GB2312" w:eastAsia="仿宋_GB2312"/>
          <w:sz w:val="30"/>
          <w:szCs w:val="30"/>
        </w:rPr>
        <w:t xml:space="preserve"> </w:t>
      </w:r>
    </w:p>
    <w:p w14:paraId="27FAD2CB">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18、行使公安交通管理方面法律、法规、规章规定的城区内侵占城市广场、人行道及管理范围内公共区域违法停放非机动车辆等的行政处罚权。</w:t>
      </w:r>
      <w:r>
        <w:rPr>
          <w:rFonts w:hint="default" w:ascii="仿宋_GB2312" w:eastAsia="仿宋_GB2312"/>
          <w:sz w:val="30"/>
          <w:szCs w:val="30"/>
        </w:rPr>
        <w:t xml:space="preserve"> </w:t>
      </w:r>
    </w:p>
    <w:p w14:paraId="16184DBB">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19、负责宣传和贯彻落实城市管理方面的法律、法规和规章，组织开展城市管理行政执法调查研究，总结推广城市管理行政执法工作经验。</w:t>
      </w:r>
      <w:r>
        <w:rPr>
          <w:rFonts w:hint="default" w:ascii="仿宋_GB2312" w:eastAsia="仿宋_GB2312"/>
          <w:sz w:val="30"/>
          <w:szCs w:val="30"/>
        </w:rPr>
        <w:t xml:space="preserve"> </w:t>
      </w:r>
    </w:p>
    <w:p w14:paraId="4B8958AE">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rPr>
          <w:rFonts w:hint="eastAsia" w:ascii="仿宋_GB2312" w:eastAsia="仿宋_GB2312"/>
          <w:sz w:val="30"/>
          <w:szCs w:val="30"/>
        </w:rPr>
      </w:pPr>
      <w:r>
        <w:rPr>
          <w:rFonts w:hint="eastAsia" w:ascii="仿宋_GB2312" w:eastAsia="仿宋_GB2312"/>
          <w:sz w:val="30"/>
          <w:szCs w:val="30"/>
        </w:rPr>
        <w:t>20、负责城市管理的综合协调、检查监督、考核评比工作。</w:t>
      </w:r>
      <w:r>
        <w:rPr>
          <w:rFonts w:hint="default" w:ascii="仿宋_GB2312" w:eastAsia="仿宋_GB2312"/>
          <w:sz w:val="30"/>
          <w:szCs w:val="30"/>
        </w:rPr>
        <w:t xml:space="preserve"> </w:t>
      </w:r>
    </w:p>
    <w:p w14:paraId="73E061F7">
      <w:pPr>
        <w:keepNext w:val="0"/>
        <w:keepLines w:val="0"/>
        <w:pageBreakBefore w:val="0"/>
        <w:widowControl w:val="0"/>
        <w:kinsoku/>
        <w:wordWrap/>
        <w:overflowPunct/>
        <w:topLinePunct w:val="0"/>
        <w:autoSpaceDE/>
        <w:autoSpaceDN/>
        <w:bidi w:val="0"/>
        <w:spacing w:before="0" w:beforeAutospacing="0" w:after="2" w:afterAutospacing="0" w:line="540" w:lineRule="exact"/>
        <w:ind w:left="0" w:firstLine="630"/>
        <w:textAlignment w:val="auto"/>
      </w:pPr>
      <w:r>
        <w:rPr>
          <w:rFonts w:hint="eastAsia" w:ascii="仿宋_GB2312" w:eastAsia="仿宋_GB2312"/>
          <w:sz w:val="30"/>
          <w:szCs w:val="30"/>
        </w:rPr>
        <w:t>21、承办县人民政府交办的其他事项。</w:t>
      </w:r>
      <w:r>
        <w:rPr>
          <w:rFonts w:hint="default" w:ascii="Times New Roman" w:hAnsi="Times New Roman" w:cs="Times New Roman"/>
          <w:color w:val="000000"/>
          <w:sz w:val="32"/>
          <w:szCs w:val="32"/>
        </w:rPr>
        <w:t xml:space="preserve"> </w:t>
      </w:r>
    </w:p>
    <w:p w14:paraId="764D53FE">
      <w:pPr>
        <w:autoSpaceDE w:val="0"/>
        <w:autoSpaceDN w:val="0"/>
        <w:adjustRightInd w:val="0"/>
        <w:spacing w:beforeLines="0" w:afterLines="0" w:line="520" w:lineRule="exact"/>
        <w:ind w:firstLine="640"/>
        <w:rPr>
          <w:rFonts w:hint="default" w:ascii="仿宋_GB2312" w:hAnsi="仿宋_GB2312" w:eastAsia="仿宋_GB2312"/>
          <w:sz w:val="32"/>
          <w:szCs w:val="24"/>
          <w:lang w:val="en-US" w:eastAsia="zh-CN"/>
        </w:rPr>
      </w:pPr>
      <w:r>
        <w:rPr>
          <w:rFonts w:hint="eastAsia" w:ascii="仿宋_GB2312" w:eastAsia="仿宋_GB2312"/>
          <w:sz w:val="30"/>
          <w:szCs w:val="30"/>
        </w:rPr>
        <w:t>东安县城市管理和综合执法局内设机构包括：内设股室4个</w:t>
      </w:r>
      <w:r>
        <w:rPr>
          <w:rFonts w:hint="eastAsia" w:ascii="仿宋_GB2312" w:eastAsia="仿宋_GB2312"/>
          <w:sz w:val="30"/>
          <w:szCs w:val="30"/>
          <w:lang w:eastAsia="zh-CN"/>
        </w:rPr>
        <w:t>，</w:t>
      </w:r>
      <w:r>
        <w:rPr>
          <w:rFonts w:hint="eastAsia" w:ascii="仿宋_GB2312" w:eastAsia="仿宋_GB2312"/>
          <w:sz w:val="30"/>
          <w:szCs w:val="30"/>
        </w:rPr>
        <w:t>分别为：办公室(财务股、政工股）、政策法规股（行政审批办公室）、市政公用管理股（废弃物处置和给排水股、智慧城管中心）、燃气照明股（安全生产股）</w:t>
      </w:r>
      <w:r>
        <w:rPr>
          <w:rFonts w:hint="eastAsia" w:ascii="仿宋_GB2312" w:eastAsia="仿宋_GB2312"/>
          <w:sz w:val="30"/>
          <w:szCs w:val="30"/>
          <w:lang w:eastAsia="zh-CN"/>
        </w:rPr>
        <w:t>。</w:t>
      </w:r>
      <w:r>
        <w:rPr>
          <w:rFonts w:hint="eastAsia" w:ascii="仿宋_GB2312" w:eastAsia="仿宋_GB2312"/>
          <w:sz w:val="30"/>
          <w:szCs w:val="30"/>
          <w:lang w:val="en-US" w:eastAsia="zh-CN"/>
        </w:rPr>
        <w:t>包括4个</w:t>
      </w:r>
      <w:r>
        <w:rPr>
          <w:rFonts w:hint="eastAsia" w:ascii="仿宋_GB2312" w:eastAsia="仿宋_GB2312"/>
          <w:sz w:val="30"/>
          <w:szCs w:val="30"/>
          <w:lang w:val="en-US" w:eastAsia="zh-CN"/>
        </w:rPr>
        <w:t>独立核算事业单位（</w:t>
      </w:r>
      <w:r>
        <w:rPr>
          <w:rFonts w:hint="eastAsia" w:ascii="仿宋_GB2312" w:eastAsia="仿宋_GB2312"/>
          <w:sz w:val="30"/>
          <w:szCs w:val="30"/>
          <w:lang w:val="en-US" w:eastAsia="zh-CN"/>
        </w:rPr>
        <w:t>分别是城市管理综合行政执法大队、城市环境卫生和园林绿化服务中心、路灯管理所和自来水公司）</w:t>
      </w:r>
      <w:r>
        <w:rPr>
          <w:rFonts w:hint="eastAsia" w:ascii="仿宋_GB2312" w:eastAsia="仿宋_GB2312"/>
          <w:sz w:val="30"/>
          <w:szCs w:val="30"/>
          <w:lang w:val="en-US" w:eastAsia="zh-CN"/>
        </w:rPr>
        <w:t>和1个非独立核算事业单位（城市管理事务中心）。2024年本单位共有行政编制4人，</w:t>
      </w:r>
      <w:r>
        <w:rPr>
          <w:rFonts w:hint="eastAsia" w:ascii="仿宋_GB2312" w:eastAsia="仿宋_GB2312"/>
          <w:sz w:val="30"/>
          <w:szCs w:val="30"/>
          <w:lang w:val="en-US" w:eastAsia="zh-CN"/>
        </w:rPr>
        <w:t>事业编制15人，实有在职人员</w:t>
      </w:r>
      <w:r>
        <w:rPr>
          <w:rFonts w:hint="eastAsia" w:ascii="仿宋_GB2312" w:eastAsia="仿宋_GB2312"/>
          <w:sz w:val="30"/>
          <w:szCs w:val="30"/>
          <w:lang w:val="en-US" w:eastAsia="zh-CN"/>
        </w:rPr>
        <w:t>24人，</w:t>
      </w:r>
      <w:r>
        <w:rPr>
          <w:rFonts w:hint="eastAsia" w:ascii="仿宋_GB2312" w:eastAsia="仿宋_GB2312"/>
          <w:sz w:val="30"/>
          <w:szCs w:val="30"/>
          <w:lang w:val="en-US" w:eastAsia="zh-CN"/>
        </w:rPr>
        <w:t>退休人员5人。其中：在职人数比上年增加</w:t>
      </w:r>
      <w:r>
        <w:rPr>
          <w:rFonts w:hint="eastAsia" w:ascii="仿宋_GB2312" w:eastAsia="仿宋_GB2312"/>
          <w:sz w:val="30"/>
          <w:szCs w:val="30"/>
          <w:lang w:val="en-US" w:eastAsia="zh-CN"/>
        </w:rPr>
        <w:t>2人，主要是人才引进1人</w:t>
      </w:r>
      <w:r>
        <w:rPr>
          <w:rFonts w:hint="eastAsia" w:ascii="仿宋_GB2312" w:eastAsia="仿宋_GB2312"/>
          <w:sz w:val="30"/>
          <w:szCs w:val="30"/>
        </w:rPr>
        <w:t>，从芦洪市镇城管分局调入1人</w:t>
      </w:r>
      <w:r>
        <w:rPr>
          <w:rFonts w:hint="eastAsia" w:ascii="仿宋_GB2312" w:eastAsia="仿宋_GB2312"/>
          <w:sz w:val="30"/>
          <w:szCs w:val="30"/>
          <w:lang w:eastAsia="zh-CN"/>
        </w:rPr>
        <w:t>；</w:t>
      </w:r>
      <w:r>
        <w:rPr>
          <w:rFonts w:hint="eastAsia" w:ascii="仿宋_GB2312" w:eastAsia="仿宋_GB2312"/>
          <w:sz w:val="30"/>
          <w:szCs w:val="30"/>
          <w:lang w:val="en-US" w:eastAsia="zh-CN"/>
        </w:rPr>
        <w:t>减少1人，</w:t>
      </w:r>
      <w:r>
        <w:rPr>
          <w:rFonts w:hint="eastAsia" w:ascii="仿宋_GB2312" w:hAnsi="仿宋_GB2312" w:eastAsia="仿宋_GB2312"/>
          <w:sz w:val="32"/>
          <w:szCs w:val="24"/>
          <w:lang w:val="en-US" w:eastAsia="zh-CN"/>
        </w:rPr>
        <w:t>原因是1人退休。</w:t>
      </w:r>
    </w:p>
    <w:p w14:paraId="73FFE92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eastAsia="仿宋_GB2312"/>
          <w:color w:val="000000"/>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部门（单位）整体</w:t>
      </w:r>
      <w:r>
        <w:rPr>
          <w:rFonts w:hint="eastAsia" w:ascii="仿宋_GB2312" w:eastAsia="仿宋_GB2312"/>
          <w:sz w:val="32"/>
          <w:szCs w:val="32"/>
          <w:lang w:val="en-US" w:eastAsia="zh-CN"/>
        </w:rPr>
        <w:t>收入</w:t>
      </w:r>
      <w:r>
        <w:rPr>
          <w:rFonts w:hint="eastAsia" w:eastAsia="仿宋_GB2312"/>
          <w:color w:val="000000"/>
          <w:sz w:val="32"/>
          <w:szCs w:val="32"/>
          <w:lang w:val="en-US" w:eastAsia="zh-CN"/>
        </w:rPr>
        <w:t>情况</w:t>
      </w:r>
    </w:p>
    <w:p w14:paraId="4E7D8AC9">
      <w:pPr>
        <w:autoSpaceDE w:val="0"/>
        <w:autoSpaceDN w:val="0"/>
        <w:adjustRightInd w:val="0"/>
        <w:spacing w:beforeLines="0" w:afterLines="0" w:line="520" w:lineRule="exact"/>
        <w:ind w:firstLine="640"/>
        <w:rPr>
          <w:rFonts w:hint="default" w:ascii="仿宋_GB2312" w:eastAsia="仿宋_GB2312"/>
          <w:sz w:val="30"/>
          <w:szCs w:val="30"/>
          <w:lang w:val="en-US" w:eastAsia="zh-CN"/>
        </w:rPr>
      </w:pPr>
      <w:r>
        <w:rPr>
          <w:rFonts w:hint="eastAsia" w:ascii="仿宋_GB2312" w:eastAsia="仿宋_GB2312"/>
          <w:sz w:val="30"/>
          <w:szCs w:val="30"/>
          <w:lang w:eastAsia="zh-CN"/>
        </w:rPr>
        <w:t>2024</w:t>
      </w:r>
      <w:r>
        <w:rPr>
          <w:rFonts w:hint="eastAsia" w:ascii="仿宋_GB2312" w:eastAsia="仿宋_GB2312"/>
          <w:sz w:val="30"/>
          <w:szCs w:val="30"/>
        </w:rPr>
        <w:t>年</w:t>
      </w:r>
      <w:r>
        <w:rPr>
          <w:rFonts w:hint="eastAsia" w:ascii="仿宋_GB2312" w:eastAsia="仿宋_GB2312"/>
          <w:sz w:val="30"/>
          <w:szCs w:val="30"/>
          <w:lang w:val="en-US" w:eastAsia="zh-CN"/>
        </w:rPr>
        <w:t>全年</w:t>
      </w:r>
      <w:r>
        <w:rPr>
          <w:rFonts w:hint="eastAsia" w:ascii="仿宋_GB2312" w:eastAsia="仿宋_GB2312"/>
          <w:sz w:val="30"/>
          <w:szCs w:val="30"/>
          <w:lang w:eastAsia="zh-CN"/>
        </w:rPr>
        <w:t>预算</w:t>
      </w:r>
      <w:r>
        <w:rPr>
          <w:rFonts w:hint="eastAsia" w:ascii="仿宋_GB2312" w:eastAsia="仿宋_GB2312"/>
          <w:sz w:val="30"/>
          <w:szCs w:val="30"/>
        </w:rPr>
        <w:t>收入2321</w:t>
      </w:r>
      <w:r>
        <w:rPr>
          <w:rFonts w:hint="eastAsia" w:ascii="仿宋_GB2312" w:eastAsia="仿宋_GB2312"/>
          <w:sz w:val="30"/>
          <w:szCs w:val="30"/>
          <w:lang w:val="en-US" w:eastAsia="zh-CN"/>
        </w:rPr>
        <w:t>7</w:t>
      </w:r>
      <w:r>
        <w:rPr>
          <w:rFonts w:hint="eastAsia" w:ascii="仿宋_GB2312" w:eastAsia="仿宋_GB2312"/>
          <w:sz w:val="30"/>
          <w:szCs w:val="30"/>
        </w:rPr>
        <w:t>万元，与上年相比</w:t>
      </w:r>
      <w:bookmarkStart w:id="0" w:name="INCOME_PAY_BJBD_AMT"/>
      <w:bookmarkEnd w:id="0"/>
      <w:r>
        <w:rPr>
          <w:rFonts w:hint="eastAsia" w:ascii="仿宋_GB2312" w:eastAsia="仿宋_GB2312"/>
          <w:sz w:val="30"/>
          <w:szCs w:val="30"/>
          <w:lang w:val="en-US" w:eastAsia="zh-CN"/>
        </w:rPr>
        <w:t>增加3339</w:t>
      </w:r>
      <w:r>
        <w:rPr>
          <w:rFonts w:hint="eastAsia" w:ascii="仿宋_GB2312" w:eastAsia="仿宋_GB2312"/>
          <w:sz w:val="30"/>
          <w:szCs w:val="30"/>
        </w:rPr>
        <w:t>万元</w:t>
      </w:r>
      <w:bookmarkStart w:id="1" w:name="IS_ZERO_05"/>
      <w:bookmarkEnd w:id="1"/>
      <w:bookmarkStart w:id="2" w:name="START_IS_ZERO_05"/>
      <w:bookmarkEnd w:id="2"/>
      <w:r>
        <w:rPr>
          <w:rFonts w:hint="eastAsia" w:ascii="仿宋_GB2312" w:eastAsia="仿宋_GB2312"/>
          <w:sz w:val="30"/>
          <w:szCs w:val="30"/>
        </w:rPr>
        <w:t>，</w:t>
      </w:r>
      <w:bookmarkStart w:id="3" w:name="INCOME_PAY_BJBD_AMT_BL"/>
      <w:bookmarkEnd w:id="3"/>
      <w:r>
        <w:rPr>
          <w:rFonts w:hint="eastAsia" w:ascii="仿宋_GB2312" w:eastAsia="仿宋_GB2312"/>
          <w:sz w:val="30"/>
          <w:szCs w:val="30"/>
          <w:lang w:val="en-US" w:eastAsia="zh-CN"/>
        </w:rPr>
        <w:t>增长16.8</w:t>
      </w:r>
      <w:r>
        <w:rPr>
          <w:rFonts w:hint="eastAsia" w:ascii="仿宋_GB2312" w:eastAsia="仿宋_GB2312"/>
          <w:sz w:val="30"/>
          <w:szCs w:val="30"/>
        </w:rPr>
        <w:t>%</w:t>
      </w:r>
      <w:bookmarkStart w:id="4" w:name="END_IS_ZERO_05"/>
      <w:bookmarkEnd w:id="4"/>
      <w:r>
        <w:rPr>
          <w:rFonts w:hint="eastAsia" w:ascii="仿宋_GB2312" w:eastAsia="仿宋_GB2312"/>
          <w:sz w:val="30"/>
          <w:szCs w:val="30"/>
        </w:rPr>
        <w:t>。其中：基本支出为557万元，比上年减少921万元，减少62.31%，变化的主要原因：贯彻执行中央、省、市、县厉行节约精神，压减各项支出；项目支出为22660万元，比上年增加4260万元，增长23.15%，变化原因是：城市排水防涝项目增加1559万元，农村生活垃圾处理PPP项目增加3264万元,湘江流域存量垃圾综合治理及固废处理项目增加337万元，污水处理项目减少900万元。</w:t>
      </w:r>
    </w:p>
    <w:p w14:paraId="6ABF1D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eastAsia="仿宋_GB2312"/>
          <w:color w:val="000000"/>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部门（单位）整体支出</w:t>
      </w:r>
      <w:r>
        <w:rPr>
          <w:rFonts w:hint="eastAsia" w:eastAsia="仿宋_GB2312"/>
          <w:color w:val="000000"/>
          <w:sz w:val="32"/>
          <w:szCs w:val="32"/>
        </w:rPr>
        <w:t>使用</w:t>
      </w:r>
      <w:r>
        <w:rPr>
          <w:rFonts w:hint="eastAsia" w:eastAsia="仿宋_GB2312"/>
          <w:color w:val="000000"/>
          <w:sz w:val="32"/>
          <w:szCs w:val="32"/>
          <w:lang w:val="en-US" w:eastAsia="zh-CN"/>
        </w:rPr>
        <w:t>情况</w:t>
      </w:r>
    </w:p>
    <w:p w14:paraId="04999180">
      <w:pPr>
        <w:autoSpaceDE w:val="0"/>
        <w:autoSpaceDN w:val="0"/>
        <w:adjustRightInd w:val="0"/>
        <w:spacing w:line="520" w:lineRule="exact"/>
        <w:ind w:firstLine="640"/>
        <w:rPr>
          <w:rFonts w:hint="eastAsia" w:ascii="仿宋_GB2312" w:hAnsi="仿宋_GB2312" w:eastAsia="仿宋_GB2312"/>
          <w:color w:val="auto"/>
          <w:sz w:val="30"/>
          <w:szCs w:val="30"/>
          <w:lang w:val="zh-CN"/>
        </w:rPr>
      </w:pPr>
      <w:r>
        <w:rPr>
          <w:rFonts w:hint="eastAsia" w:ascii="仿宋_GB2312" w:hAnsi="仿宋_GB2312" w:eastAsia="仿宋_GB2312"/>
          <w:color w:val="auto"/>
          <w:sz w:val="30"/>
          <w:szCs w:val="30"/>
        </w:rPr>
        <w:t>2024年总支出为23217万元，比上年增加3339万元，增长16.8%。其中：基本支出为557万元，比上年减少921万元，减少62.31%，</w:t>
      </w:r>
      <w:r>
        <w:rPr>
          <w:rFonts w:hint="eastAsia" w:ascii="仿宋_GB2312" w:hAnsi="仿宋_GB2312" w:eastAsia="仿宋_GB2312"/>
          <w:color w:val="auto"/>
          <w:sz w:val="30"/>
          <w:szCs w:val="30"/>
          <w:lang w:val="zh-CN"/>
        </w:rPr>
        <w:t>变化的主要原因：</w:t>
      </w:r>
      <w:r>
        <w:rPr>
          <w:rFonts w:hint="eastAsia" w:ascii="仿宋_GB2312" w:hAnsi="仿宋_GB2312" w:eastAsia="仿宋_GB2312"/>
          <w:color w:val="auto"/>
          <w:sz w:val="30"/>
          <w:szCs w:val="30"/>
        </w:rPr>
        <w:t>贯彻执行中央、省、市、县厉行节约精神，压减各项支出；项目支出为22660万元，比上年增加4260万元，增长23.15%，变化</w:t>
      </w:r>
      <w:r>
        <w:rPr>
          <w:rFonts w:hint="eastAsia" w:ascii="仿宋_GB2312" w:hAnsi="仿宋_GB2312" w:eastAsia="仿宋_GB2312"/>
          <w:color w:val="auto"/>
          <w:sz w:val="30"/>
          <w:szCs w:val="30"/>
          <w:lang w:val="zh-CN"/>
        </w:rPr>
        <w:t>原因是</w:t>
      </w:r>
      <w:r>
        <w:rPr>
          <w:rFonts w:hint="eastAsia" w:ascii="仿宋_GB2312" w:hAnsi="仿宋_GB2312" w:eastAsia="仿宋_GB2312"/>
          <w:color w:val="auto"/>
          <w:sz w:val="30"/>
          <w:szCs w:val="30"/>
        </w:rPr>
        <w:t>：城市排水防涝项目增加1559万元，农村生活垃圾处理PPP项目增加3264万元,</w:t>
      </w:r>
      <w:r>
        <w:rPr>
          <w:rFonts w:hint="eastAsia" w:ascii="仿宋_GB2312" w:hAnsi="仿宋_GB2312" w:eastAsia="仿宋_GB2312"/>
          <w:color w:val="auto"/>
          <w:sz w:val="30"/>
          <w:szCs w:val="30"/>
          <w:lang w:val="zh-CN"/>
        </w:rPr>
        <w:t>湘江流域存量垃圾综合治理及固废处理项目增加</w:t>
      </w:r>
      <w:r>
        <w:rPr>
          <w:rFonts w:hint="eastAsia" w:ascii="仿宋_GB2312" w:hAnsi="仿宋_GB2312" w:eastAsia="仿宋_GB2312"/>
          <w:color w:val="auto"/>
          <w:sz w:val="30"/>
          <w:szCs w:val="30"/>
        </w:rPr>
        <w:t>337万元，污水处理项目减少900万元。</w:t>
      </w:r>
      <w:r>
        <w:rPr>
          <w:rFonts w:hint="eastAsia" w:ascii="仿宋_GB2312" w:hAnsi="仿宋_GB2312" w:eastAsia="仿宋_GB2312"/>
          <w:color w:val="auto"/>
          <w:sz w:val="30"/>
          <w:szCs w:val="30"/>
          <w:lang w:val="zh-CN"/>
        </w:rPr>
        <w:t>人员经费</w:t>
      </w:r>
      <w:r>
        <w:rPr>
          <w:rFonts w:hint="eastAsia" w:ascii="仿宋_GB2312" w:hAnsi="仿宋_GB2312" w:eastAsia="仿宋_GB2312"/>
          <w:color w:val="auto"/>
          <w:sz w:val="30"/>
          <w:szCs w:val="30"/>
        </w:rPr>
        <w:t>为298.18万元，比上年增加5.94万元，增长2.03%，</w:t>
      </w:r>
      <w:r>
        <w:rPr>
          <w:rFonts w:hint="eastAsia" w:ascii="仿宋_GB2312" w:hAnsi="仿宋_GB2312" w:eastAsia="仿宋_GB2312"/>
          <w:color w:val="auto"/>
          <w:sz w:val="30"/>
          <w:szCs w:val="30"/>
          <w:lang w:val="zh-CN"/>
        </w:rPr>
        <w:t>变化的主要原因：</w:t>
      </w:r>
      <w:r>
        <w:rPr>
          <w:rFonts w:hint="eastAsia" w:ascii="仿宋_GB2312" w:hAnsi="仿宋_GB2312" w:eastAsia="仿宋_GB2312"/>
          <w:color w:val="auto"/>
          <w:sz w:val="30"/>
          <w:szCs w:val="30"/>
        </w:rPr>
        <w:t>调入1人，人才引进1人；公用</w:t>
      </w:r>
      <w:r>
        <w:rPr>
          <w:rFonts w:hint="eastAsia" w:ascii="仿宋_GB2312" w:hAnsi="仿宋_GB2312" w:eastAsia="仿宋_GB2312"/>
          <w:color w:val="auto"/>
          <w:sz w:val="30"/>
          <w:szCs w:val="30"/>
          <w:lang w:val="zh-CN"/>
        </w:rPr>
        <w:t>经费</w:t>
      </w:r>
      <w:r>
        <w:rPr>
          <w:rFonts w:hint="eastAsia" w:ascii="仿宋_GB2312" w:hAnsi="仿宋_GB2312" w:eastAsia="仿宋_GB2312"/>
          <w:color w:val="auto"/>
          <w:sz w:val="30"/>
          <w:szCs w:val="30"/>
        </w:rPr>
        <w:t>为258.82万元，比上年减少926.94万元，减少78.17%，</w:t>
      </w:r>
      <w:r>
        <w:rPr>
          <w:rFonts w:hint="eastAsia" w:ascii="仿宋_GB2312" w:hAnsi="仿宋_GB2312" w:eastAsia="仿宋_GB2312"/>
          <w:color w:val="auto"/>
          <w:sz w:val="30"/>
          <w:szCs w:val="30"/>
          <w:lang w:val="zh-CN"/>
        </w:rPr>
        <w:t>变化的主要原因：</w:t>
      </w:r>
      <w:r>
        <w:rPr>
          <w:rFonts w:hint="eastAsia" w:ascii="仿宋_GB2312" w:hAnsi="仿宋_GB2312" w:eastAsia="仿宋_GB2312"/>
          <w:color w:val="auto"/>
          <w:sz w:val="30"/>
          <w:szCs w:val="30"/>
        </w:rPr>
        <w:t>贯彻执行中央、省、市、县厉行节约精神，压减各项支出</w:t>
      </w:r>
      <w:r>
        <w:rPr>
          <w:rFonts w:hint="eastAsia" w:ascii="仿宋_GB2312" w:hAnsi="仿宋_GB2312" w:eastAsia="仿宋_GB2312"/>
          <w:color w:val="auto"/>
          <w:sz w:val="30"/>
          <w:szCs w:val="30"/>
          <w:lang w:val="zh-CN"/>
        </w:rPr>
        <w:t>。</w:t>
      </w:r>
    </w:p>
    <w:p w14:paraId="51D43ED2">
      <w:pPr>
        <w:autoSpaceDE w:val="0"/>
        <w:autoSpaceDN w:val="0"/>
        <w:adjustRightInd w:val="0"/>
        <w:spacing w:beforeLines="0" w:afterLines="0" w:line="520" w:lineRule="exact"/>
        <w:ind w:firstLine="640"/>
        <w:rPr>
          <w:rFonts w:hint="eastAsia" w:ascii="仿宋_GB2312" w:hAnsi="仿宋_GB2312" w:eastAsia="仿宋_GB2312"/>
          <w:sz w:val="30"/>
          <w:szCs w:val="30"/>
          <w:lang w:eastAsia="zh-CN"/>
        </w:rPr>
      </w:pPr>
      <w:r>
        <w:rPr>
          <w:rFonts w:hint="eastAsia" w:ascii="仿宋_GB2312" w:hAnsi="仿宋_GB2312" w:eastAsia="仿宋_GB2312"/>
          <w:sz w:val="30"/>
          <w:szCs w:val="30"/>
          <w:lang w:eastAsia="zh-CN"/>
        </w:rPr>
        <w:t>2024年本部门“三公”经费预算数为4.</w:t>
      </w:r>
      <w:r>
        <w:rPr>
          <w:rFonts w:hint="eastAsia" w:ascii="仿宋_GB2312" w:hAnsi="仿宋_GB2312" w:eastAsia="仿宋_GB2312"/>
          <w:sz w:val="30"/>
          <w:szCs w:val="30"/>
          <w:lang w:val="en-US" w:eastAsia="zh-CN"/>
        </w:rPr>
        <w:t>6</w:t>
      </w:r>
      <w:r>
        <w:rPr>
          <w:rFonts w:hint="eastAsia" w:ascii="仿宋_GB2312" w:hAnsi="仿宋_GB2312" w:eastAsia="仿宋_GB2312"/>
          <w:sz w:val="30"/>
          <w:szCs w:val="30"/>
          <w:lang w:eastAsia="zh-CN"/>
        </w:rPr>
        <w:t>万元，其中，公务接待费4.</w:t>
      </w:r>
      <w:r>
        <w:rPr>
          <w:rFonts w:hint="eastAsia" w:ascii="仿宋_GB2312" w:hAnsi="仿宋_GB2312" w:eastAsia="仿宋_GB2312"/>
          <w:sz w:val="30"/>
          <w:szCs w:val="30"/>
          <w:lang w:val="en-US" w:eastAsia="zh-CN"/>
        </w:rPr>
        <w:t>6</w:t>
      </w:r>
      <w:r>
        <w:rPr>
          <w:rFonts w:hint="eastAsia" w:ascii="仿宋_GB2312" w:hAnsi="仿宋_GB2312" w:eastAsia="仿宋_GB2312"/>
          <w:sz w:val="30"/>
          <w:szCs w:val="30"/>
          <w:lang w:eastAsia="zh-CN"/>
        </w:rPr>
        <w:t>万元，公务用车购置及运行费0万元（其中，公务用车购置费0万元，公务用车运行费0万元），因公出国（境）费0万元。2024年“三公”经费预算较202</w:t>
      </w:r>
      <w:r>
        <w:rPr>
          <w:rFonts w:hint="eastAsia" w:ascii="仿宋_GB2312" w:hAnsi="仿宋_GB2312" w:eastAsia="仿宋_GB2312"/>
          <w:sz w:val="30"/>
          <w:szCs w:val="30"/>
          <w:lang w:val="en-US" w:eastAsia="zh-CN"/>
        </w:rPr>
        <w:t>3</w:t>
      </w:r>
      <w:r>
        <w:rPr>
          <w:rFonts w:hint="eastAsia" w:ascii="仿宋_GB2312" w:hAnsi="仿宋_GB2312" w:eastAsia="仿宋_GB2312"/>
          <w:sz w:val="30"/>
          <w:szCs w:val="30"/>
          <w:lang w:eastAsia="zh-CN"/>
        </w:rPr>
        <w:t>年减少0.</w:t>
      </w:r>
      <w:r>
        <w:rPr>
          <w:rFonts w:hint="eastAsia" w:ascii="仿宋_GB2312" w:hAnsi="仿宋_GB2312" w:eastAsia="仿宋_GB2312"/>
          <w:sz w:val="30"/>
          <w:szCs w:val="30"/>
          <w:lang w:val="en-US" w:eastAsia="zh-CN"/>
        </w:rPr>
        <w:t>1</w:t>
      </w:r>
      <w:r>
        <w:rPr>
          <w:rFonts w:hint="eastAsia" w:ascii="仿宋_GB2312" w:hAnsi="仿宋_GB2312" w:eastAsia="仿宋_GB2312"/>
          <w:sz w:val="30"/>
          <w:szCs w:val="30"/>
          <w:lang w:eastAsia="zh-CN"/>
        </w:rPr>
        <w:t>万元。</w:t>
      </w:r>
    </w:p>
    <w:p w14:paraId="77D82B61">
      <w:pPr>
        <w:autoSpaceDE w:val="0"/>
        <w:autoSpaceDN w:val="0"/>
        <w:adjustRightInd w:val="0"/>
        <w:spacing w:beforeLines="0" w:afterLines="0" w:line="520" w:lineRule="exact"/>
        <w:ind w:firstLine="640"/>
        <w:rPr>
          <w:rFonts w:hint="eastAsia" w:eastAsia="仿宋_GB2312"/>
          <w:color w:val="000000"/>
          <w:sz w:val="30"/>
          <w:szCs w:val="30"/>
        </w:rPr>
      </w:pPr>
      <w:r>
        <w:rPr>
          <w:rFonts w:hint="eastAsia" w:ascii="仿宋_GB2312" w:hAnsi="仿宋_GB2312" w:eastAsia="仿宋_GB2312"/>
          <w:sz w:val="30"/>
          <w:szCs w:val="30"/>
          <w:lang w:val="en-US" w:eastAsia="zh-CN"/>
        </w:rPr>
        <w:t>2024年实际发生公务接待费3.91万元，比预算数减少0.69万元，</w:t>
      </w:r>
      <w:r>
        <w:rPr>
          <w:rFonts w:hint="eastAsia" w:ascii="仿宋_GB2312" w:hAnsi="仿宋_GB2312" w:eastAsia="仿宋_GB2312"/>
          <w:sz w:val="30"/>
          <w:szCs w:val="30"/>
          <w:lang w:eastAsia="zh-CN"/>
        </w:rPr>
        <w:t>主要是严格贯彻落实厉行节约反对浪费精神，加强公务接待管理，严格控制相关费用，支出相应减少。</w:t>
      </w:r>
      <w:r>
        <w:rPr>
          <w:rFonts w:hint="eastAsia" w:ascii="仿宋_GB2312" w:eastAsia="仿宋_GB2312"/>
          <w:sz w:val="30"/>
          <w:szCs w:val="30"/>
        </w:rPr>
        <w:t xml:space="preserve"> </w:t>
      </w:r>
    </w:p>
    <w:p w14:paraId="218D7FF7">
      <w:pPr>
        <w:pStyle w:val="8"/>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150ABE48">
      <w:pPr>
        <w:autoSpaceDE w:val="0"/>
        <w:autoSpaceDN w:val="0"/>
        <w:adjustRightInd w:val="0"/>
        <w:spacing w:beforeLines="0" w:afterLines="0" w:line="520" w:lineRule="exact"/>
        <w:ind w:firstLine="64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（一）基本支出情况</w:t>
      </w:r>
    </w:p>
    <w:p w14:paraId="66726C39">
      <w:pPr>
        <w:autoSpaceDE w:val="0"/>
        <w:autoSpaceDN w:val="0"/>
        <w:adjustRightInd w:val="0"/>
        <w:spacing w:beforeLines="0" w:afterLines="0" w:line="520" w:lineRule="exact"/>
        <w:ind w:firstLine="640"/>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2024年度本部门基本支出</w:t>
      </w:r>
      <w:bookmarkStart w:id="5" w:name="CZBK_JBZC_AMT"/>
      <w:bookmarkEnd w:id="5"/>
      <w:r>
        <w:rPr>
          <w:rFonts w:hint="eastAsia" w:ascii="仿宋_GB2312" w:hAnsi="仿宋_GB2312" w:eastAsia="仿宋_GB2312"/>
          <w:sz w:val="30"/>
          <w:szCs w:val="30"/>
          <w:lang w:val="en-US" w:eastAsia="zh-CN"/>
        </w:rPr>
        <w:t>557万元，其中：</w:t>
      </w:r>
    </w:p>
    <w:p w14:paraId="5D12E354">
      <w:pPr>
        <w:autoSpaceDE w:val="0"/>
        <w:autoSpaceDN w:val="0"/>
        <w:adjustRightInd w:val="0"/>
        <w:spacing w:beforeLines="0" w:afterLines="0" w:line="520" w:lineRule="exact"/>
        <w:ind w:firstLine="640"/>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人员经费</w:t>
      </w:r>
      <w:bookmarkStart w:id="6" w:name="CZBK_RYJF_AMT"/>
      <w:bookmarkEnd w:id="6"/>
      <w:r>
        <w:rPr>
          <w:rFonts w:hint="eastAsia" w:ascii="仿宋_GB2312" w:hAnsi="仿宋_GB2312" w:eastAsia="仿宋_GB2312"/>
          <w:sz w:val="30"/>
          <w:szCs w:val="30"/>
          <w:lang w:val="en-US" w:eastAsia="zh-CN"/>
        </w:rPr>
        <w:t>298.18万元，占基本支出的</w:t>
      </w:r>
      <w:bookmarkStart w:id="7" w:name="CZBK_RYJF_AMT_BL"/>
      <w:bookmarkEnd w:id="7"/>
      <w:r>
        <w:rPr>
          <w:rFonts w:hint="eastAsia" w:ascii="仿宋_GB2312" w:hAnsi="仿宋_GB2312" w:eastAsia="仿宋_GB2312"/>
          <w:sz w:val="30"/>
          <w:szCs w:val="30"/>
          <w:lang w:val="en-US" w:eastAsia="zh-CN"/>
        </w:rPr>
        <w:t>53.53%，主要包括：基本工资、津贴补贴、奖金、伙食补助费、机关事业单位基本养老保险缴费、职业年金缴费、职工基本医疗保险缴费、其他社会保障缴费、住房公积金、其他对个人和家庭的补助；</w:t>
      </w:r>
    </w:p>
    <w:p w14:paraId="05ACC758">
      <w:pPr>
        <w:autoSpaceDE w:val="0"/>
        <w:autoSpaceDN w:val="0"/>
        <w:adjustRightInd w:val="0"/>
        <w:spacing w:beforeLines="0" w:afterLines="0" w:line="520" w:lineRule="exact"/>
        <w:ind w:firstLine="640"/>
        <w:rPr>
          <w:rFonts w:hint="eastAsia" w:ascii="仿宋_GB2312" w:hAnsi="仿宋_GB2312" w:eastAsia="仿宋_GB2312"/>
          <w:sz w:val="32"/>
          <w:szCs w:val="24"/>
          <w:lang w:val="en-US" w:eastAsia="zh-CN"/>
        </w:rPr>
      </w:pPr>
      <w:r>
        <w:rPr>
          <w:rFonts w:hint="eastAsia" w:ascii="仿宋_GB2312" w:hAnsi="仿宋_GB2312" w:eastAsia="仿宋_GB2312"/>
          <w:sz w:val="30"/>
          <w:szCs w:val="30"/>
          <w:lang w:val="en-US" w:eastAsia="zh-CN"/>
        </w:rPr>
        <w:t>公用经费</w:t>
      </w:r>
      <w:bookmarkStart w:id="8" w:name="CZBK_GYJF_AMT"/>
      <w:bookmarkEnd w:id="8"/>
      <w:r>
        <w:rPr>
          <w:rFonts w:hint="eastAsia" w:ascii="仿宋_GB2312" w:hAnsi="仿宋_GB2312" w:eastAsia="仿宋_GB2312"/>
          <w:sz w:val="30"/>
          <w:szCs w:val="30"/>
          <w:lang w:val="en-US" w:eastAsia="zh-CN"/>
        </w:rPr>
        <w:t>258.82万元，占基本支出的</w:t>
      </w:r>
      <w:bookmarkStart w:id="9" w:name="CZBK_GYJF_AMT_BL"/>
      <w:bookmarkEnd w:id="9"/>
      <w:r>
        <w:rPr>
          <w:rFonts w:hint="eastAsia" w:ascii="仿宋_GB2312" w:hAnsi="仿宋_GB2312" w:eastAsia="仿宋_GB2312"/>
          <w:sz w:val="30"/>
          <w:szCs w:val="30"/>
          <w:lang w:val="en-US" w:eastAsia="zh-CN"/>
        </w:rPr>
        <w:t>46.47%，主要包括：办公费、印刷费、咨询费、水费、电费、邮电费、差旅费、维修（护）费、会议费、培训费、公务接待费、劳务费、委托业务费、工会经费、福利费、公务用车运行维护费、其他商品和服务支出。</w:t>
      </w:r>
    </w:p>
    <w:p w14:paraId="1300EB8D">
      <w:pPr>
        <w:pStyle w:val="8"/>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highlight w:val="none"/>
        </w:rPr>
        <w:t>（二）项目支出情</w:t>
      </w:r>
      <w:r>
        <w:rPr>
          <w:rFonts w:ascii="Times New Roman" w:hAnsi="Times New Roman" w:eastAsia="仿宋_GB2312"/>
          <w:sz w:val="32"/>
          <w:szCs w:val="32"/>
        </w:rPr>
        <w:t>况</w:t>
      </w:r>
    </w:p>
    <w:p w14:paraId="16816B19">
      <w:pPr>
        <w:pStyle w:val="8"/>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Times New Roman"/>
          <w:kern w:val="2"/>
          <w:sz w:val="30"/>
          <w:szCs w:val="30"/>
          <w:lang w:val="en-US" w:eastAsia="zh-CN" w:bidi="ar-SA"/>
        </w:rPr>
      </w:pPr>
      <w:r>
        <w:rPr>
          <w:rFonts w:hint="eastAsia" w:ascii="仿宋_GB2312" w:hAnsi="仿宋_GB2312" w:eastAsia="仿宋_GB2312" w:cs="Times New Roman"/>
          <w:kern w:val="2"/>
          <w:sz w:val="30"/>
          <w:szCs w:val="30"/>
          <w:lang w:val="en-US" w:eastAsia="zh-CN" w:bidi="ar-SA"/>
        </w:rPr>
        <w:t>2024年本部门项目支出5160万元，主要是部门为完成特定行政工作任务或事业发展目标而发生的支出，包括有关事业发展专项、专项业务费、基本建设支出等，其中：城市排水防涝项目1559万元，农村生活垃圾处理PPP项目3264万元,湘江流域存量垃圾综合治理及固废处理项目337万元。</w:t>
      </w:r>
    </w:p>
    <w:p w14:paraId="5EC3F26B">
      <w:pPr>
        <w:pStyle w:val="8"/>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黑体"/>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w:t>
      </w:r>
    </w:p>
    <w:p w14:paraId="380FCC32">
      <w:pPr>
        <w:pStyle w:val="8"/>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0"/>
          <w:szCs w:val="30"/>
        </w:rPr>
        <w:t>我单位政府性基金预算支出</w:t>
      </w:r>
      <w:r>
        <w:rPr>
          <w:rFonts w:hint="eastAsia" w:ascii="Times New Roman" w:hAnsi="Times New Roman" w:eastAsia="仿宋_GB2312"/>
          <w:color w:val="000000"/>
          <w:sz w:val="30"/>
          <w:szCs w:val="30"/>
          <w:lang w:val="en-US" w:eastAsia="zh-CN"/>
        </w:rPr>
        <w:t>17500万元，主要是</w:t>
      </w:r>
      <w:r>
        <w:rPr>
          <w:rFonts w:hint="eastAsia" w:ascii="仿宋_GB2312" w:hAnsi="仿宋_GB2312" w:eastAsia="仿宋_GB2312"/>
          <w:sz w:val="30"/>
          <w:szCs w:val="30"/>
        </w:rPr>
        <w:t>农村生活垃圾处理PPP项目</w:t>
      </w:r>
      <w:r>
        <w:rPr>
          <w:rFonts w:hint="eastAsia" w:ascii="Times New Roman" w:hAnsi="Times New Roman" w:eastAsia="仿宋_GB2312"/>
          <w:color w:val="000000"/>
          <w:sz w:val="30"/>
          <w:szCs w:val="30"/>
          <w:lang w:eastAsia="zh-CN"/>
        </w:rPr>
        <w:t>。</w:t>
      </w:r>
    </w:p>
    <w:p w14:paraId="292ED399">
      <w:pPr>
        <w:pStyle w:val="8"/>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23B2B019">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rFonts w:hint="eastAsia" w:ascii="Times New Roman" w:hAnsi="Times New Roman" w:eastAsia="仿宋_GB2312"/>
          <w:sz w:val="30"/>
          <w:szCs w:val="30"/>
          <w:lang w:eastAsia="zh-CN"/>
        </w:rPr>
      </w:pPr>
      <w:r>
        <w:rPr>
          <w:rFonts w:hint="eastAsia" w:ascii="Times New Roman" w:hAnsi="Times New Roman" w:eastAsia="仿宋_GB2312"/>
          <w:color w:val="000000"/>
          <w:sz w:val="30"/>
          <w:szCs w:val="30"/>
        </w:rPr>
        <w:t>我单位无国有资本经营预算支出情况</w:t>
      </w:r>
      <w:r>
        <w:rPr>
          <w:rFonts w:hint="eastAsia" w:ascii="Times New Roman" w:hAnsi="Times New Roman" w:eastAsia="仿宋_GB2312"/>
          <w:color w:val="000000"/>
          <w:sz w:val="30"/>
          <w:szCs w:val="30"/>
          <w:lang w:eastAsia="zh-CN"/>
        </w:rPr>
        <w:t>。</w:t>
      </w:r>
    </w:p>
    <w:p w14:paraId="3FCD5BA5">
      <w:pPr>
        <w:pStyle w:val="8"/>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4C5914BB">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300" w:firstLineChars="100"/>
        <w:jc w:val="both"/>
        <w:textAlignment w:val="auto"/>
        <w:rPr>
          <w:rFonts w:hint="eastAsia" w:ascii="Times New Roman" w:hAnsi="Times New Roman" w:eastAsia="仿宋_GB2312"/>
          <w:sz w:val="30"/>
          <w:szCs w:val="30"/>
          <w:lang w:eastAsia="zh-CN"/>
        </w:rPr>
      </w:pPr>
      <w:r>
        <w:rPr>
          <w:rFonts w:hint="eastAsia" w:ascii="Times New Roman" w:hAnsi="Times New Roman" w:eastAsia="仿宋_GB2312"/>
          <w:color w:val="000000"/>
          <w:sz w:val="30"/>
          <w:szCs w:val="30"/>
        </w:rPr>
        <w:t>我单位无社会保险基金预算支出情况</w:t>
      </w:r>
      <w:r>
        <w:rPr>
          <w:rFonts w:hint="eastAsia" w:ascii="Times New Roman" w:hAnsi="Times New Roman" w:eastAsia="仿宋_GB2312"/>
          <w:color w:val="000000"/>
          <w:sz w:val="30"/>
          <w:szCs w:val="30"/>
          <w:lang w:eastAsia="zh-CN"/>
        </w:rPr>
        <w:t>。</w:t>
      </w:r>
    </w:p>
    <w:p w14:paraId="322553C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黑体"/>
          <w:sz w:val="32"/>
          <w:szCs w:val="32"/>
        </w:rPr>
      </w:pPr>
      <w:r>
        <w:rPr>
          <w:rFonts w:eastAsia="黑体"/>
          <w:sz w:val="32"/>
          <w:szCs w:val="32"/>
        </w:rPr>
        <w:t>六、部门整体支出绩效情况</w:t>
      </w:r>
    </w:p>
    <w:p w14:paraId="03D189D2">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eastAsia" w:eastAsia="仿宋_GB2312" w:cs="仿宋_GB2312"/>
          <w:sz w:val="30"/>
          <w:szCs w:val="30"/>
        </w:rPr>
      </w:pPr>
      <w:r>
        <w:rPr>
          <w:rFonts w:hint="eastAsia" w:eastAsia="仿宋_GB2312" w:cs="仿宋_GB2312"/>
          <w:sz w:val="30"/>
          <w:szCs w:val="30"/>
        </w:rPr>
        <w:t xml:space="preserve"> 根据预算绩效管理要求，我部门组织对</w:t>
      </w:r>
      <w:r>
        <w:rPr>
          <w:rFonts w:hint="eastAsia" w:eastAsia="仿宋_GB2312" w:cs="仿宋_GB2312"/>
          <w:sz w:val="30"/>
          <w:szCs w:val="30"/>
          <w:lang w:eastAsia="zh-CN"/>
        </w:rPr>
        <w:t>2024</w:t>
      </w:r>
      <w:r>
        <w:rPr>
          <w:rFonts w:hint="eastAsia" w:eastAsia="仿宋_GB2312" w:cs="仿宋_GB2312"/>
          <w:sz w:val="30"/>
          <w:szCs w:val="30"/>
        </w:rPr>
        <w:t>年度一般公共预算项目支出全面开展绩效自评，共涉及</w:t>
      </w:r>
      <w:r>
        <w:rPr>
          <w:rFonts w:hint="eastAsia" w:eastAsia="仿宋_GB2312" w:cs="仿宋_GB2312"/>
          <w:sz w:val="30"/>
          <w:szCs w:val="30"/>
          <w:lang w:val="en-US" w:eastAsia="zh-CN"/>
        </w:rPr>
        <w:t>3个项目，项目</w:t>
      </w:r>
      <w:r>
        <w:rPr>
          <w:rFonts w:hint="eastAsia" w:eastAsia="仿宋_GB2312" w:cs="仿宋_GB2312"/>
          <w:sz w:val="30"/>
          <w:szCs w:val="30"/>
        </w:rPr>
        <w:t>资金</w:t>
      </w:r>
      <w:r>
        <w:rPr>
          <w:rFonts w:hint="eastAsia" w:eastAsia="仿宋_GB2312" w:cs="仿宋_GB2312"/>
          <w:sz w:val="30"/>
          <w:szCs w:val="30"/>
          <w:lang w:val="en-US" w:eastAsia="zh-CN"/>
        </w:rPr>
        <w:t>5160</w:t>
      </w:r>
      <w:r>
        <w:rPr>
          <w:rFonts w:hint="eastAsia" w:eastAsia="仿宋_GB2312" w:cs="仿宋_GB2312"/>
          <w:sz w:val="30"/>
          <w:szCs w:val="30"/>
        </w:rPr>
        <w:t>万元。组织对</w:t>
      </w:r>
      <w:r>
        <w:rPr>
          <w:rFonts w:hint="eastAsia" w:eastAsia="仿宋_GB2312" w:cs="仿宋_GB2312"/>
          <w:sz w:val="30"/>
          <w:szCs w:val="30"/>
          <w:lang w:eastAsia="zh-CN"/>
        </w:rPr>
        <w:t>2024</w:t>
      </w:r>
      <w:r>
        <w:rPr>
          <w:rFonts w:hint="eastAsia" w:eastAsia="仿宋_GB2312" w:cs="仿宋_GB2312"/>
          <w:sz w:val="30"/>
          <w:szCs w:val="30"/>
        </w:rPr>
        <w:t>年度政府性基金预算项目支出开展绩效自评，共涉及</w:t>
      </w:r>
      <w:r>
        <w:rPr>
          <w:rFonts w:hint="eastAsia" w:eastAsia="仿宋_GB2312" w:cs="仿宋_GB2312"/>
          <w:sz w:val="30"/>
          <w:szCs w:val="30"/>
          <w:lang w:val="en-US" w:eastAsia="zh-CN"/>
        </w:rPr>
        <w:t>1个项目，项目</w:t>
      </w:r>
      <w:r>
        <w:rPr>
          <w:rFonts w:hint="eastAsia" w:eastAsia="仿宋_GB2312" w:cs="仿宋_GB2312"/>
          <w:sz w:val="30"/>
          <w:szCs w:val="30"/>
        </w:rPr>
        <w:t>资金</w:t>
      </w:r>
      <w:r>
        <w:rPr>
          <w:rFonts w:hint="eastAsia" w:eastAsia="仿宋_GB2312" w:cs="仿宋_GB2312"/>
          <w:sz w:val="30"/>
          <w:szCs w:val="30"/>
          <w:lang w:val="en-US" w:eastAsia="zh-CN"/>
        </w:rPr>
        <w:t>17500</w:t>
      </w:r>
      <w:r>
        <w:rPr>
          <w:rFonts w:hint="eastAsia" w:eastAsia="仿宋_GB2312" w:cs="仿宋_GB2312"/>
          <w:sz w:val="30"/>
          <w:szCs w:val="30"/>
        </w:rPr>
        <w:t>万元。</w:t>
      </w:r>
    </w:p>
    <w:p w14:paraId="2221F5A0">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eastAsia" w:eastAsia="仿宋_GB2312" w:cs="仿宋_GB2312"/>
          <w:sz w:val="30"/>
          <w:szCs w:val="30"/>
          <w:lang w:eastAsia="zh-CN"/>
        </w:rPr>
      </w:pPr>
      <w:r>
        <w:rPr>
          <w:rFonts w:hint="eastAsia" w:eastAsia="仿宋_GB2312" w:cs="仿宋_GB2312"/>
          <w:sz w:val="30"/>
          <w:szCs w:val="30"/>
        </w:rPr>
        <w:t>组织对1个单位开展整体支出绩效评价，涉及一般公共预算支出</w:t>
      </w:r>
      <w:r>
        <w:rPr>
          <w:rFonts w:hint="eastAsia" w:eastAsia="仿宋_GB2312" w:cs="仿宋_GB2312"/>
          <w:sz w:val="30"/>
          <w:szCs w:val="30"/>
          <w:lang w:val="en-US" w:eastAsia="zh-CN"/>
        </w:rPr>
        <w:t>5717</w:t>
      </w:r>
      <w:r>
        <w:rPr>
          <w:rFonts w:hint="eastAsia" w:eastAsia="仿宋_GB2312" w:cs="仿宋_GB2312"/>
          <w:sz w:val="30"/>
          <w:szCs w:val="30"/>
        </w:rPr>
        <w:t>万元，政府性基金预算支出</w:t>
      </w:r>
      <w:r>
        <w:rPr>
          <w:rFonts w:hint="eastAsia" w:eastAsia="仿宋_GB2312" w:cs="仿宋_GB2312"/>
          <w:sz w:val="30"/>
          <w:szCs w:val="30"/>
          <w:lang w:val="en-US" w:eastAsia="zh-CN"/>
        </w:rPr>
        <w:t>17500</w:t>
      </w:r>
      <w:r>
        <w:rPr>
          <w:rFonts w:hint="eastAsia" w:eastAsia="仿宋_GB2312" w:cs="仿宋_GB2312"/>
          <w:sz w:val="30"/>
          <w:szCs w:val="30"/>
        </w:rPr>
        <w:t>万元。从评价情况来看，绩效评价结果为优，达到了预期绩效目标</w:t>
      </w:r>
      <w:r>
        <w:rPr>
          <w:rFonts w:hint="eastAsia" w:eastAsia="仿宋_GB2312" w:cs="仿宋_GB2312"/>
          <w:sz w:val="30"/>
          <w:szCs w:val="30"/>
          <w:lang w:eastAsia="zh-CN"/>
        </w:rPr>
        <w:t>。</w:t>
      </w:r>
    </w:p>
    <w:p w14:paraId="75305C4F">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eastAsia="仿宋_GB2312"/>
          <w:color w:val="000000"/>
          <w:sz w:val="32"/>
          <w:szCs w:val="32"/>
        </w:rPr>
      </w:pPr>
      <w:r>
        <w:rPr>
          <w:rFonts w:hint="eastAsia" w:eastAsia="仿宋_GB2312" w:cs="仿宋_GB2312"/>
          <w:sz w:val="30"/>
          <w:szCs w:val="30"/>
        </w:rPr>
        <w:t>我们严格预算管理，切实按照县委出台的五项管理制度要求，坚持执行财经和财务制度，修改完善了《机关财务管理规定》《财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14:paraId="41F8B3B4">
      <w:pPr>
        <w:pStyle w:val="8"/>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14:paraId="5E88B290">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1.从数量</w:t>
      </w:r>
      <w:r>
        <w:rPr>
          <w:rFonts w:hint="eastAsia" w:ascii="仿宋_GB2312" w:eastAsia="仿宋_GB2312"/>
          <w:sz w:val="30"/>
          <w:szCs w:val="30"/>
        </w:rPr>
        <w:t>指标</w:t>
      </w:r>
      <w:r>
        <w:rPr>
          <w:rFonts w:hint="eastAsia" w:ascii="仿宋_GB2312" w:eastAsia="仿宋_GB2312"/>
          <w:sz w:val="30"/>
          <w:szCs w:val="30"/>
          <w:lang w:val="en-US" w:eastAsia="zh-CN"/>
        </w:rPr>
        <w:t>分析</w:t>
      </w:r>
      <w:r>
        <w:rPr>
          <w:rFonts w:hint="eastAsia" w:ascii="仿宋_GB2312" w:eastAsia="仿宋_GB2312"/>
          <w:sz w:val="30"/>
          <w:szCs w:val="30"/>
          <w:lang w:eastAsia="zh-CN"/>
        </w:rPr>
        <w:t>：</w:t>
      </w:r>
      <w:r>
        <w:rPr>
          <w:rFonts w:hint="eastAsia" w:ascii="仿宋_GB2312" w:eastAsia="仿宋_GB2312"/>
          <w:sz w:val="30"/>
          <w:szCs w:val="30"/>
          <w:lang w:val="en-US" w:eastAsia="zh-CN"/>
        </w:rPr>
        <w:t>执法工作经费完成值低于指标值，原因是财政资金紧张，支付力度不够，在以年的工作中将加强与财政沟通，提高资金支付力度。</w:t>
      </w:r>
    </w:p>
    <w:p w14:paraId="6EC1F7ED">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2.从满意度指标分析，社会公众或服务对象满意度为93%，低于指标值，服务满意度有待提高。</w:t>
      </w:r>
    </w:p>
    <w:p w14:paraId="7D74F2A6">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3.从时效</w:t>
      </w:r>
      <w:r>
        <w:rPr>
          <w:rFonts w:hint="eastAsia" w:ascii="仿宋_GB2312" w:eastAsia="仿宋_GB2312"/>
          <w:sz w:val="30"/>
          <w:szCs w:val="30"/>
        </w:rPr>
        <w:t>指标</w:t>
      </w:r>
      <w:r>
        <w:rPr>
          <w:rFonts w:hint="eastAsia" w:ascii="仿宋_GB2312" w:eastAsia="仿宋_GB2312"/>
          <w:sz w:val="30"/>
          <w:szCs w:val="30"/>
          <w:lang w:val="en-US" w:eastAsia="zh-CN"/>
        </w:rPr>
        <w:t>分析</w:t>
      </w:r>
      <w:r>
        <w:rPr>
          <w:rFonts w:hint="eastAsia" w:ascii="仿宋_GB2312" w:eastAsia="仿宋_GB2312"/>
          <w:sz w:val="30"/>
          <w:szCs w:val="30"/>
          <w:lang w:eastAsia="zh-CN"/>
        </w:rPr>
        <w:t>：</w:t>
      </w:r>
      <w:r>
        <w:rPr>
          <w:rFonts w:hint="eastAsia" w:ascii="仿宋_GB2312" w:eastAsia="仿宋_GB2312"/>
          <w:sz w:val="30"/>
          <w:szCs w:val="30"/>
          <w:lang w:val="en-US" w:eastAsia="zh-CN"/>
        </w:rPr>
        <w:t>工作完成率低于指标值，原因是天气问题，无法进行施工，导致工期延误。</w:t>
      </w:r>
    </w:p>
    <w:p w14:paraId="484C5C0A">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eastAsia="黑体"/>
          <w:sz w:val="32"/>
          <w:szCs w:val="32"/>
        </w:rPr>
      </w:pPr>
      <w:r>
        <w:rPr>
          <w:rFonts w:eastAsia="黑体"/>
          <w:sz w:val="32"/>
          <w:szCs w:val="32"/>
        </w:rPr>
        <w:t>下一步改进措施</w:t>
      </w:r>
    </w:p>
    <w:p w14:paraId="0590D688">
      <w:pPr>
        <w:keepNext w:val="0"/>
        <w:keepLines w:val="0"/>
        <w:pageBreakBefore w:val="0"/>
        <w:widowControl w:val="0"/>
        <w:numPr>
          <w:ilvl w:val="0"/>
          <w:numId w:val="3"/>
        </w:numPr>
        <w:kinsoku/>
        <w:wordWrap/>
        <w:overflowPunct/>
        <w:topLinePunct w:val="0"/>
        <w:autoSpaceDE/>
        <w:autoSpaceDN/>
        <w:bidi w:val="0"/>
        <w:adjustRightInd w:val="0"/>
        <w:snapToGrid w:val="0"/>
        <w:spacing w:line="540" w:lineRule="exact"/>
        <w:ind w:firstLine="600" w:firstLineChars="200"/>
        <w:textAlignment w:val="auto"/>
        <w:rPr>
          <w:rFonts w:hint="eastAsia" w:eastAsia="仿宋_GB2312" w:cs="仿宋_GB2312"/>
          <w:sz w:val="30"/>
          <w:szCs w:val="30"/>
        </w:rPr>
      </w:pPr>
      <w:r>
        <w:rPr>
          <w:rFonts w:hint="eastAsia" w:eastAsia="仿宋_GB2312" w:cs="仿宋_GB2312"/>
          <w:sz w:val="30"/>
          <w:szCs w:val="30"/>
          <w:lang w:eastAsia="zh-CN"/>
        </w:rPr>
        <w:t>进一步提高预算的合理性、严谨性、精准性，人员经费预算足额编制，最大限度地利用好公用经费，及时跟进单位专项资金保障力度，加快预算进度</w:t>
      </w:r>
      <w:r>
        <w:rPr>
          <w:rFonts w:hint="eastAsia" w:eastAsia="仿宋_GB2312" w:cs="仿宋_GB2312"/>
          <w:sz w:val="30"/>
          <w:szCs w:val="30"/>
        </w:rPr>
        <w:t>。</w:t>
      </w:r>
    </w:p>
    <w:p w14:paraId="0DC73DE4">
      <w:pPr>
        <w:keepNext w:val="0"/>
        <w:keepLines w:val="0"/>
        <w:pageBreakBefore w:val="0"/>
        <w:widowControl w:val="0"/>
        <w:numPr>
          <w:ilvl w:val="0"/>
          <w:numId w:val="3"/>
        </w:numPr>
        <w:kinsoku/>
        <w:wordWrap/>
        <w:overflowPunct/>
        <w:topLinePunct w:val="0"/>
        <w:autoSpaceDE/>
        <w:autoSpaceDN/>
        <w:bidi w:val="0"/>
        <w:adjustRightInd w:val="0"/>
        <w:snapToGrid w:val="0"/>
        <w:spacing w:line="540" w:lineRule="exact"/>
        <w:ind w:firstLine="600" w:firstLineChars="200"/>
        <w:textAlignment w:val="auto"/>
        <w:rPr>
          <w:rFonts w:hint="eastAsia" w:eastAsia="仿宋_GB2312" w:cs="仿宋_GB2312"/>
          <w:sz w:val="30"/>
          <w:szCs w:val="30"/>
        </w:rPr>
      </w:pPr>
      <w:bookmarkStart w:id="10" w:name="_GoBack"/>
      <w:r>
        <w:rPr>
          <w:rFonts w:hint="eastAsia" w:eastAsia="仿宋_GB2312" w:cs="仿宋_GB2312"/>
          <w:sz w:val="30"/>
          <w:szCs w:val="30"/>
          <w:lang w:val="en-US" w:eastAsia="zh-CN"/>
        </w:rPr>
        <w:t>及时规划，提早预判，保证施工进度按时有序完成，提高</w:t>
      </w:r>
      <w:r>
        <w:rPr>
          <w:rFonts w:hint="eastAsia" w:ascii="仿宋_GB2312" w:eastAsia="仿宋_GB2312"/>
          <w:sz w:val="30"/>
          <w:szCs w:val="30"/>
          <w:lang w:val="en-US" w:eastAsia="zh-CN"/>
        </w:rPr>
        <w:t>社会公众或服务对象满意度。</w:t>
      </w:r>
      <w:bookmarkEnd w:id="10"/>
    </w:p>
    <w:p w14:paraId="02FAE08C">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jc w:val="both"/>
        <w:textAlignment w:val="auto"/>
        <w:rPr>
          <w:rFonts w:eastAsia="黑体"/>
          <w:sz w:val="32"/>
          <w:szCs w:val="32"/>
        </w:rPr>
      </w:pPr>
      <w:r>
        <w:rPr>
          <w:rFonts w:eastAsia="黑体"/>
          <w:sz w:val="32"/>
          <w:szCs w:val="32"/>
        </w:rPr>
        <w:t>部门整体支出绩效自评结果拟应用和公开情况</w:t>
      </w:r>
    </w:p>
    <w:p w14:paraId="492A92DF">
      <w:pPr>
        <w:pStyle w:val="3"/>
        <w:keepNext w:val="0"/>
        <w:keepLines w:val="0"/>
        <w:pageBreakBefore w:val="0"/>
        <w:widowControl w:val="0"/>
        <w:numPr>
          <w:ilvl w:val="0"/>
          <w:numId w:val="0"/>
        </w:numPr>
        <w:kinsoku/>
        <w:wordWrap/>
        <w:overflowPunct/>
        <w:topLinePunct w:val="0"/>
        <w:autoSpaceDE/>
        <w:autoSpaceDN/>
        <w:bidi w:val="0"/>
        <w:spacing w:line="540" w:lineRule="exact"/>
        <w:ind w:leftChars="200" w:firstLine="300" w:firstLineChars="100"/>
        <w:textAlignment w:val="auto"/>
        <w:rPr>
          <w:rFonts w:hint="default" w:ascii="Times New Roman" w:hAnsi="Times New Roman" w:eastAsia="仿宋_GB2312" w:cs="仿宋_GB2312"/>
          <w:kern w:val="2"/>
          <w:sz w:val="30"/>
          <w:szCs w:val="30"/>
          <w:lang w:val="en-US" w:eastAsia="zh-CN" w:bidi="ar-SA"/>
        </w:rPr>
      </w:pPr>
      <w:r>
        <w:rPr>
          <w:rFonts w:hint="eastAsia" w:ascii="Times New Roman" w:hAnsi="Times New Roman" w:eastAsia="仿宋_GB2312" w:cs="仿宋_GB2312"/>
          <w:kern w:val="2"/>
          <w:sz w:val="30"/>
          <w:szCs w:val="30"/>
          <w:lang w:val="en-US" w:eastAsia="zh-CN" w:bidi="ar-SA"/>
        </w:rPr>
        <w:t xml:space="preserve"> 我局按要求对预算编制中的绩效目标编制和年终的绩效考评结果进行了公开。</w:t>
      </w:r>
    </w:p>
    <w:p w14:paraId="4EFCF7C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eastAsia="黑体"/>
          <w:sz w:val="32"/>
          <w:szCs w:val="32"/>
        </w:rPr>
        <w:t>十、</w:t>
      </w:r>
      <w:r>
        <w:rPr>
          <w:rFonts w:eastAsia="黑体"/>
          <w:sz w:val="32"/>
          <w:szCs w:val="32"/>
        </w:rPr>
        <w:t>其他需要说明的情况</w:t>
      </w:r>
      <w:r>
        <w:rPr>
          <w:rFonts w:hint="eastAsia" w:eastAsia="黑体"/>
          <w:sz w:val="32"/>
          <w:szCs w:val="32"/>
          <w:lang w:val="en-US" w:eastAsia="zh-CN"/>
        </w:rPr>
        <w:t xml:space="preserve">   </w:t>
      </w:r>
      <w:r>
        <w:rPr>
          <w:rFonts w:hint="eastAsia" w:ascii="仿宋" w:hAnsi="仿宋" w:eastAsia="仿宋" w:cs="仿宋"/>
          <w:sz w:val="32"/>
          <w:szCs w:val="32"/>
          <w:lang w:val="en-US" w:eastAsia="zh-CN"/>
        </w:rPr>
        <w:t>无</w:t>
      </w:r>
    </w:p>
    <w:p w14:paraId="107F7E52">
      <w:pPr>
        <w:rPr>
          <w:rFonts w:hint="eastAsia" w:ascii="Times New Roman" w:hAnsi="Times New Roman" w:eastAsia="仿宋_GB2312" w:cs="仿宋_GB2312"/>
          <w:kern w:val="2"/>
          <w:sz w:val="30"/>
          <w:szCs w:val="30"/>
          <w:lang w:val="en-US" w:eastAsia="zh-CN" w:bidi="ar-SA"/>
        </w:rPr>
      </w:pPr>
    </w:p>
    <w:p w14:paraId="3DEA0642">
      <w:pPr>
        <w:rPr>
          <w:rFonts w:hint="eastAsia" w:ascii="Times New Roman" w:hAnsi="Times New Roman" w:eastAsia="仿宋_GB2312" w:cs="仿宋_GB2312"/>
          <w:kern w:val="2"/>
          <w:sz w:val="30"/>
          <w:szCs w:val="30"/>
          <w:lang w:val="en-US" w:eastAsia="zh-CN" w:bidi="ar-SA"/>
        </w:rPr>
      </w:pPr>
      <w:r>
        <w:rPr>
          <w:rFonts w:hint="eastAsia" w:ascii="Times New Roman" w:hAnsi="Times New Roman" w:eastAsia="仿宋_GB2312" w:cs="仿宋_GB2312"/>
          <w:kern w:val="2"/>
          <w:sz w:val="30"/>
          <w:szCs w:val="30"/>
          <w:lang w:val="en-US" w:eastAsia="zh-CN" w:bidi="ar-SA"/>
        </w:rPr>
        <w:t>附：</w:t>
      </w:r>
      <w:r>
        <w:rPr>
          <w:rFonts w:hint="eastAsia" w:eastAsia="仿宋_GB2312" w:cs="仿宋_GB2312"/>
          <w:kern w:val="2"/>
          <w:sz w:val="30"/>
          <w:szCs w:val="30"/>
          <w:lang w:val="en-US" w:eastAsia="zh-CN" w:bidi="ar-SA"/>
        </w:rPr>
        <w:t>2024</w:t>
      </w:r>
      <w:r>
        <w:rPr>
          <w:rFonts w:hint="eastAsia" w:ascii="Times New Roman" w:hAnsi="Times New Roman" w:eastAsia="仿宋_GB2312" w:cs="仿宋_GB2312"/>
          <w:kern w:val="2"/>
          <w:sz w:val="30"/>
          <w:szCs w:val="30"/>
          <w:lang w:val="en-US" w:eastAsia="zh-CN" w:bidi="ar-SA"/>
        </w:rPr>
        <w:t>年度部门整体支出绩效自评表</w:t>
      </w:r>
    </w:p>
    <w:p w14:paraId="39CE5003"/>
    <w:p w14:paraId="46523384">
      <w:pPr>
        <w:pStyle w:val="3"/>
      </w:pPr>
    </w:p>
    <w:tbl>
      <w:tblPr>
        <w:tblStyle w:val="5"/>
        <w:tblW w:w="10292" w:type="dxa"/>
        <w:tblInd w:w="-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0"/>
        <w:gridCol w:w="571"/>
        <w:gridCol w:w="859"/>
        <w:gridCol w:w="1291"/>
        <w:gridCol w:w="1175"/>
        <w:gridCol w:w="1139"/>
        <w:gridCol w:w="99"/>
        <w:gridCol w:w="637"/>
        <w:gridCol w:w="775"/>
        <w:gridCol w:w="1064"/>
        <w:gridCol w:w="925"/>
        <w:gridCol w:w="1357"/>
      </w:tblGrid>
      <w:tr w14:paraId="2552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10292" w:type="dxa"/>
            <w:gridSpan w:val="12"/>
            <w:tcBorders>
              <w:top w:val="nil"/>
              <w:left w:val="nil"/>
              <w:bottom w:val="nil"/>
              <w:right w:val="nil"/>
            </w:tcBorders>
            <w:shd w:val="clear" w:color="auto" w:fill="auto"/>
            <w:noWrap/>
            <w:vAlign w:val="center"/>
          </w:tcPr>
          <w:p w14:paraId="556ED01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i w:val="0"/>
                <w:color w:val="000000"/>
                <w:kern w:val="0"/>
                <w:sz w:val="36"/>
                <w:szCs w:val="36"/>
                <w:u w:val="none"/>
                <w:lang w:val="en-US" w:eastAsia="zh-CN" w:bidi="ar"/>
              </w:rPr>
              <w:t>2024年度部门整体支出绩效自评表</w:t>
            </w:r>
          </w:p>
        </w:tc>
      </w:tr>
      <w:tr w14:paraId="1916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01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预算部门名称</w:t>
            </w:r>
          </w:p>
        </w:tc>
        <w:tc>
          <w:tcPr>
            <w:tcW w:w="846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4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东安县城市管理和综合执法局</w:t>
            </w:r>
          </w:p>
        </w:tc>
      </w:tr>
      <w:tr w14:paraId="0FAA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8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17155">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20"/>
                <w:szCs w:val="20"/>
                <w:u w:val="none"/>
              </w:rPr>
            </w:pPr>
            <w:r>
              <w:rPr>
                <w:rFonts w:hint="default" w:ascii="Microsoft YaHei UI" w:hAnsi="Microsoft YaHei UI" w:eastAsia="Microsoft YaHei UI" w:cs="Microsoft YaHei UI"/>
                <w:i w:val="0"/>
                <w:color w:val="000000"/>
                <w:kern w:val="0"/>
                <w:sz w:val="20"/>
                <w:szCs w:val="20"/>
                <w:u w:val="none"/>
                <w:lang w:val="en-US" w:eastAsia="zh-CN" w:bidi="ar"/>
              </w:rPr>
              <w:t>年度预算申请</w:t>
            </w:r>
            <w:r>
              <w:rPr>
                <w:rFonts w:hint="default" w:ascii="Microsoft YaHei UI" w:hAnsi="Microsoft YaHei UI" w:eastAsia="Microsoft YaHei UI" w:cs="Microsoft YaHei UI"/>
                <w:i w:val="0"/>
                <w:color w:val="000000"/>
                <w:kern w:val="0"/>
                <w:sz w:val="20"/>
                <w:szCs w:val="20"/>
                <w:u w:val="none"/>
                <w:lang w:val="en-US" w:eastAsia="zh-CN" w:bidi="ar"/>
              </w:rPr>
              <w:br w:type="textWrapping"/>
            </w:r>
            <w:r>
              <w:rPr>
                <w:rFonts w:hint="default" w:ascii="Microsoft YaHei UI" w:hAnsi="Microsoft YaHei UI" w:eastAsia="Microsoft YaHei UI" w:cs="Microsoft YaHei UI"/>
                <w:i w:val="0"/>
                <w:color w:val="000000"/>
                <w:kern w:val="0"/>
                <w:sz w:val="20"/>
                <w:szCs w:val="20"/>
                <w:u w:val="none"/>
                <w:lang w:val="en-US" w:eastAsia="zh-CN" w:bidi="ar"/>
              </w:rPr>
              <w:t>(万元)</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3621">
            <w:pPr>
              <w:jc w:val="center"/>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98EC">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年初预算数 (万元)</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5872">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全年预算数（万元）</w:t>
            </w:r>
          </w:p>
        </w:tc>
        <w:tc>
          <w:tcPr>
            <w:tcW w:w="1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BE9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EE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i w:val="0"/>
                <w:color w:val="000000"/>
                <w:kern w:val="0"/>
                <w:sz w:val="20"/>
                <w:szCs w:val="20"/>
                <w:u w:val="none"/>
                <w:lang w:val="en-US" w:eastAsia="zh-CN" w:bidi="ar"/>
              </w:rPr>
              <w:t>分值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5F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A2E5">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得分</w:t>
            </w:r>
          </w:p>
        </w:tc>
      </w:tr>
      <w:tr w14:paraId="3517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8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C5C61">
            <w:pPr>
              <w:jc w:val="center"/>
              <w:rPr>
                <w:rFonts w:hint="eastAsia" w:ascii="Microsoft YaHei UI" w:hAnsi="Microsoft YaHei UI" w:eastAsia="Microsoft YaHei UI" w:cs="Microsoft YaHei UI"/>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F033">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年度资金总额：</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3B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AE39">
            <w:pPr>
              <w:keepNext w:val="0"/>
              <w:keepLines w:val="0"/>
              <w:widowControl/>
              <w:suppressLineNumbers w:val="0"/>
              <w:jc w:val="center"/>
              <w:textAlignment w:val="center"/>
              <w:rPr>
                <w:rFonts w:hint="default"/>
                <w:lang w:val="en-US"/>
              </w:rPr>
            </w:pPr>
            <w:r>
              <w:rPr>
                <w:rFonts w:hint="eastAsia" w:cs="Times New Roman"/>
                <w:i w:val="0"/>
                <w:color w:val="000000"/>
                <w:kern w:val="0"/>
                <w:sz w:val="20"/>
                <w:szCs w:val="20"/>
                <w:u w:val="none"/>
                <w:lang w:val="en-US" w:eastAsia="zh-CN" w:bidi="ar"/>
              </w:rPr>
              <w:t>23217</w:t>
            </w:r>
          </w:p>
        </w:tc>
        <w:tc>
          <w:tcPr>
            <w:tcW w:w="1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818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cs="Times New Roman"/>
                <w:i w:val="0"/>
                <w:color w:val="000000"/>
                <w:kern w:val="0"/>
                <w:sz w:val="20"/>
                <w:szCs w:val="20"/>
                <w:u w:val="none"/>
                <w:lang w:val="en-US" w:eastAsia="zh-CN" w:bidi="ar"/>
              </w:rPr>
              <w:t>23217</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8D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8E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color w:val="000000"/>
                <w:kern w:val="0"/>
                <w:sz w:val="20"/>
                <w:szCs w:val="20"/>
                <w:u w:val="none"/>
                <w:lang w:val="en-US" w:eastAsia="zh-CN" w:bidi="ar"/>
              </w:rPr>
              <w:t>100</w:t>
            </w:r>
            <w:r>
              <w:rPr>
                <w:rFonts w:hint="default" w:ascii="Times New Roman" w:hAnsi="Times New Roman" w:eastAsia="宋体" w:cs="Times New Roman"/>
                <w:i w:val="0"/>
                <w:color w:val="000000"/>
                <w:kern w:val="0"/>
                <w:sz w:val="20"/>
                <w:szCs w:val="20"/>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DD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cs="Times New Roman"/>
                <w:i w:val="0"/>
                <w:color w:val="000000"/>
                <w:kern w:val="0"/>
                <w:sz w:val="20"/>
                <w:szCs w:val="20"/>
                <w:u w:val="none"/>
                <w:lang w:val="en-US" w:eastAsia="zh-CN" w:bidi="ar"/>
              </w:rPr>
              <w:t>10</w:t>
            </w:r>
          </w:p>
        </w:tc>
      </w:tr>
      <w:tr w14:paraId="2C0C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8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6B31">
            <w:pPr>
              <w:jc w:val="center"/>
              <w:rPr>
                <w:rFonts w:hint="eastAsia" w:ascii="Microsoft YaHei UI" w:hAnsi="Microsoft YaHei UI" w:eastAsia="Microsoft YaHei UI" w:cs="Microsoft YaHei UI"/>
                <w:i w:val="0"/>
                <w:iCs w:val="0"/>
                <w:color w:val="000000"/>
                <w:sz w:val="20"/>
                <w:szCs w:val="20"/>
                <w:u w:val="none"/>
              </w:rPr>
            </w:pPr>
          </w:p>
        </w:tc>
        <w:tc>
          <w:tcPr>
            <w:tcW w:w="51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9561C6">
            <w:pPr>
              <w:keepNext w:val="0"/>
              <w:keepLines w:val="0"/>
              <w:widowControl/>
              <w:suppressLineNumbers w:val="0"/>
              <w:jc w:val="left"/>
              <w:textAlignment w:val="center"/>
              <w:rPr>
                <w:rFonts w:hint="default" w:ascii="仿宋_GB2312" w:hAnsi="宋体" w:eastAsia="仿宋_GB2312" w:cs="仿宋_GB2312"/>
                <w:b/>
                <w:bCs/>
                <w:i w:val="0"/>
                <w:iCs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按收入性质分：</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A868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i w:val="0"/>
                <w:color w:val="000000"/>
                <w:kern w:val="0"/>
                <w:sz w:val="20"/>
                <w:szCs w:val="20"/>
                <w:u w:val="none"/>
                <w:lang w:val="en-US" w:eastAsia="zh-CN" w:bidi="ar"/>
              </w:rPr>
              <w:t>按支出性质分：</w:t>
            </w:r>
          </w:p>
        </w:tc>
      </w:tr>
      <w:tr w14:paraId="2534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8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89A5D">
            <w:pPr>
              <w:jc w:val="center"/>
              <w:rPr>
                <w:rFonts w:hint="eastAsia" w:ascii="Microsoft YaHei UI" w:hAnsi="Microsoft YaHei UI" w:eastAsia="Microsoft YaHei UI" w:cs="Microsoft YaHei UI"/>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37FB">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一般公共预算：</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C527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cs="Times New Roman"/>
                <w:i w:val="0"/>
                <w:color w:val="000000"/>
                <w:kern w:val="0"/>
                <w:sz w:val="20"/>
                <w:szCs w:val="20"/>
                <w:u w:val="none"/>
                <w:lang w:val="en-US" w:eastAsia="zh-CN" w:bidi="ar"/>
              </w:rPr>
              <w:t>5717</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D4A35">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其中: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基本支出：</w:t>
            </w: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5B0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cs="Times New Roman"/>
                <w:i w:val="0"/>
                <w:color w:val="000000"/>
                <w:kern w:val="0"/>
                <w:sz w:val="20"/>
                <w:szCs w:val="20"/>
                <w:u w:val="none"/>
                <w:lang w:val="en-US" w:eastAsia="zh-CN" w:bidi="ar"/>
              </w:rPr>
              <w:t>557</w:t>
            </w:r>
          </w:p>
        </w:tc>
      </w:tr>
      <w:tr w14:paraId="50D0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8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18F8E">
            <w:pPr>
              <w:jc w:val="center"/>
              <w:rPr>
                <w:rFonts w:hint="eastAsia" w:ascii="Microsoft YaHei UI" w:hAnsi="Microsoft YaHei UI" w:eastAsia="Microsoft YaHei UI" w:cs="Microsoft YaHei UI"/>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2571">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政府性基金拨款：</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11D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cs="Times New Roman"/>
                <w:i w:val="0"/>
                <w:color w:val="000000"/>
                <w:kern w:val="0"/>
                <w:sz w:val="20"/>
                <w:szCs w:val="20"/>
                <w:u w:val="none"/>
                <w:lang w:val="en-US" w:eastAsia="zh-CN" w:bidi="ar"/>
              </w:rPr>
              <w:t>17500</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9C06B">
            <w:pPr>
              <w:jc w:val="cente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A53E2">
            <w:pPr>
              <w:jc w:val="center"/>
              <w:rPr>
                <w:rFonts w:hint="default" w:ascii="Times New Roman" w:hAnsi="Times New Roman" w:eastAsia="宋体" w:cs="Times New Roman"/>
                <w:i w:val="0"/>
                <w:iCs w:val="0"/>
                <w:color w:val="000000"/>
                <w:sz w:val="20"/>
                <w:szCs w:val="20"/>
                <w:u w:val="none"/>
              </w:rPr>
            </w:pPr>
          </w:p>
        </w:tc>
      </w:tr>
      <w:tr w14:paraId="455F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8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C5AA5">
            <w:pPr>
              <w:jc w:val="center"/>
              <w:rPr>
                <w:rFonts w:hint="eastAsia" w:ascii="Microsoft YaHei UI" w:hAnsi="Microsoft YaHei UI" w:eastAsia="Microsoft YaHei UI" w:cs="Microsoft YaHei UI"/>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AB25">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纳入专户管理的非税收入拨款：</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0C2F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815FD">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项目支出：</w:t>
            </w: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09E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cs="Times New Roman"/>
                <w:i w:val="0"/>
                <w:color w:val="000000"/>
                <w:kern w:val="0"/>
                <w:sz w:val="20"/>
                <w:szCs w:val="20"/>
                <w:u w:val="none"/>
                <w:lang w:val="en-US" w:eastAsia="zh-CN" w:bidi="ar"/>
              </w:rPr>
              <w:t>22660</w:t>
            </w:r>
          </w:p>
        </w:tc>
      </w:tr>
      <w:tr w14:paraId="5CF9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8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50C9C">
            <w:pPr>
              <w:jc w:val="center"/>
              <w:rPr>
                <w:rFonts w:hint="eastAsia" w:ascii="Microsoft YaHei UI" w:hAnsi="Microsoft YaHei UI" w:eastAsia="Microsoft YaHei UI" w:cs="Microsoft YaHei UI"/>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4964">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其他资金</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77BD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0.00</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2DE4">
            <w:pPr>
              <w:jc w:val="cente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4DD24">
            <w:pPr>
              <w:jc w:val="center"/>
              <w:rPr>
                <w:rFonts w:hint="default" w:ascii="Times New Roman" w:hAnsi="Times New Roman" w:eastAsia="宋体" w:cs="Times New Roman"/>
                <w:i w:val="0"/>
                <w:iCs w:val="0"/>
                <w:color w:val="000000"/>
                <w:sz w:val="20"/>
                <w:szCs w:val="20"/>
                <w:u w:val="none"/>
              </w:rPr>
            </w:pPr>
          </w:p>
        </w:tc>
      </w:tr>
      <w:tr w14:paraId="155B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8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8127C">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年度总体目标</w:t>
            </w:r>
          </w:p>
        </w:tc>
        <w:tc>
          <w:tcPr>
            <w:tcW w:w="51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13AA37">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预期目标</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7D6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i w:val="0"/>
                <w:color w:val="000000"/>
                <w:kern w:val="0"/>
                <w:sz w:val="20"/>
                <w:szCs w:val="20"/>
                <w:u w:val="none"/>
                <w:lang w:val="en-US" w:eastAsia="zh-CN" w:bidi="ar"/>
              </w:rPr>
              <w:t>实际完成情况</w:t>
            </w:r>
          </w:p>
        </w:tc>
      </w:tr>
      <w:tr w14:paraId="7D24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18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01E9D">
            <w:pPr>
              <w:jc w:val="center"/>
              <w:rPr>
                <w:rFonts w:hint="default" w:ascii="仿宋_GB2312" w:hAnsi="宋体" w:eastAsia="仿宋_GB2312" w:cs="仿宋_GB2312"/>
                <w:b/>
                <w:bCs/>
                <w:i w:val="0"/>
                <w:iCs w:val="0"/>
                <w:color w:val="000000"/>
                <w:sz w:val="20"/>
                <w:szCs w:val="20"/>
                <w:u w:val="none"/>
              </w:rPr>
            </w:pPr>
          </w:p>
        </w:tc>
        <w:tc>
          <w:tcPr>
            <w:tcW w:w="51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CB0E2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1.真抓实干，强力推进城乡基础设施建设2.网格管理，深入推进城市管理精细化建设3.人民至上，积极筹谋民生实事项目建设4.全力以赴，争创国家园林城市建设5.便民服务，持续强化城区市政公共服务建设6.党建领航，切实抓好新时代城管执法队伍建设。</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75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按照完成县委、县政府交办的各项工作任务，加强对城市管理相关各项工作的监督和管理。</w:t>
            </w:r>
          </w:p>
        </w:tc>
      </w:tr>
      <w:tr w14:paraId="2712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F4DC">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70E6">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一级指标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13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二级指标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A5A8">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三级指标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170F">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年度指标值</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B7080">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实际完成值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31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分值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8649">
            <w:pPr>
              <w:keepNext w:val="0"/>
              <w:keepLines w:val="0"/>
              <w:widowControl/>
              <w:suppressLineNumbers w:val="0"/>
              <w:jc w:val="center"/>
              <w:textAlignment w:val="center"/>
            </w:pPr>
            <w:r>
              <w:rPr>
                <w:rFonts w:hint="eastAsia" w:ascii="仿宋_GB2312" w:hAnsi="宋体" w:eastAsia="仿宋_GB2312" w:cs="仿宋_GB2312"/>
                <w:b/>
                <w:i w:val="0"/>
                <w:color w:val="000000"/>
                <w:kern w:val="0"/>
                <w:sz w:val="20"/>
                <w:szCs w:val="20"/>
                <w:u w:val="none"/>
                <w:lang w:val="en-US" w:eastAsia="zh-CN" w:bidi="ar"/>
              </w:rPr>
              <w:t>得分</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F79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偏差原因分析及改进措施</w:t>
            </w:r>
          </w:p>
        </w:tc>
      </w:tr>
      <w:tr w14:paraId="5EFC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77D5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绩效指标</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C528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产出指标</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2E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8197">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default" w:ascii="仿宋" w:hAnsi="仿宋" w:eastAsia="仿宋" w:cs="仿宋"/>
                <w:i w:val="0"/>
                <w:color w:val="000000"/>
                <w:kern w:val="0"/>
                <w:sz w:val="18"/>
                <w:szCs w:val="18"/>
                <w:u w:val="none"/>
                <w:lang w:val="en-US" w:eastAsia="zh-CN" w:bidi="ar"/>
              </w:rPr>
              <w:t>执法工作经费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51E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50.6</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BFCEB">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37.12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1E6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F1A5">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4</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25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18"/>
                <w:szCs w:val="18"/>
                <w:u w:val="none"/>
                <w:lang w:val="en-US" w:eastAsia="zh-CN" w:bidi="ar"/>
              </w:rPr>
              <w:t>财政加大支付力度</w:t>
            </w:r>
          </w:p>
        </w:tc>
      </w:tr>
      <w:tr w14:paraId="5D3B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42DF">
            <w:pPr>
              <w:jc w:val="center"/>
              <w:rPr>
                <w:rFonts w:hint="default" w:ascii="仿宋_GB2312" w:hAnsi="宋体" w:eastAsia="仿宋_GB2312" w:cs="仿宋_GB2312"/>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CAD6">
            <w:pPr>
              <w:jc w:val="center"/>
              <w:rPr>
                <w:rFonts w:hint="default" w:ascii="仿宋_GB2312" w:hAnsi="宋体" w:eastAsia="仿宋_GB2312" w:cs="仿宋_GB2312"/>
                <w:i w:val="0"/>
                <w:iCs w:val="0"/>
                <w:color w:val="000000"/>
                <w:sz w:val="20"/>
                <w:szCs w:val="20"/>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3BA54">
            <w:pPr>
              <w:jc w:val="center"/>
              <w:rPr>
                <w:rFonts w:hint="eastAsia" w:ascii="宋体" w:hAnsi="宋体" w:eastAsia="宋体" w:cs="宋体"/>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68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color w:val="000000"/>
                <w:kern w:val="0"/>
                <w:sz w:val="18"/>
                <w:szCs w:val="18"/>
                <w:u w:val="none"/>
                <w:lang w:val="en-US" w:eastAsia="zh-CN" w:bidi="ar"/>
              </w:rPr>
              <w:t>供水管网改造</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24A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1500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EB6A1">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5100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295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5D98">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5</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A8BBD">
            <w:pPr>
              <w:jc w:val="center"/>
              <w:rPr>
                <w:rFonts w:hint="eastAsia" w:ascii="宋体" w:hAnsi="宋体" w:eastAsia="宋体" w:cs="宋体"/>
                <w:i w:val="0"/>
                <w:iCs w:val="0"/>
                <w:color w:val="000000"/>
                <w:sz w:val="22"/>
                <w:szCs w:val="22"/>
                <w:u w:val="none"/>
              </w:rPr>
            </w:pPr>
          </w:p>
        </w:tc>
      </w:tr>
      <w:tr w14:paraId="6E74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4906">
            <w:pPr>
              <w:jc w:val="center"/>
              <w:rPr>
                <w:rFonts w:hint="default" w:ascii="仿宋_GB2312" w:hAnsi="宋体" w:eastAsia="仿宋_GB2312" w:cs="仿宋_GB2312"/>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1D779">
            <w:pPr>
              <w:jc w:val="center"/>
              <w:rPr>
                <w:rFonts w:hint="default" w:ascii="仿宋_GB2312" w:hAnsi="宋体" w:eastAsia="仿宋_GB2312" w:cs="仿宋_GB2312"/>
                <w:i w:val="0"/>
                <w:iCs w:val="0"/>
                <w:color w:val="000000"/>
                <w:sz w:val="20"/>
                <w:szCs w:val="20"/>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151A">
            <w:pPr>
              <w:jc w:val="center"/>
              <w:rPr>
                <w:rFonts w:hint="eastAsia" w:ascii="宋体" w:hAnsi="宋体" w:eastAsia="宋体" w:cs="宋体"/>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D7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color w:val="000000"/>
                <w:kern w:val="0"/>
                <w:sz w:val="18"/>
                <w:szCs w:val="18"/>
                <w:u w:val="none"/>
                <w:lang w:val="en-US" w:eastAsia="zh-CN" w:bidi="ar"/>
              </w:rPr>
              <w:t>市政燃气管道建设</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34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10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E5507">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32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A38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13FD">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5</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C3705">
            <w:pPr>
              <w:jc w:val="center"/>
              <w:rPr>
                <w:rFonts w:hint="eastAsia" w:ascii="宋体" w:hAnsi="宋体" w:eastAsia="宋体" w:cs="宋体"/>
                <w:i w:val="0"/>
                <w:iCs w:val="0"/>
                <w:color w:val="000000"/>
                <w:sz w:val="22"/>
                <w:szCs w:val="22"/>
                <w:u w:val="none"/>
              </w:rPr>
            </w:pPr>
          </w:p>
        </w:tc>
      </w:tr>
      <w:tr w14:paraId="1047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6700F">
            <w:pPr>
              <w:jc w:val="center"/>
              <w:rPr>
                <w:rFonts w:hint="default" w:ascii="仿宋_GB2312" w:hAnsi="宋体" w:eastAsia="仿宋_GB2312" w:cs="仿宋_GB2312"/>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AA80">
            <w:pPr>
              <w:jc w:val="center"/>
              <w:rPr>
                <w:rFonts w:hint="default" w:ascii="仿宋_GB2312" w:hAnsi="宋体" w:eastAsia="仿宋_GB2312" w:cs="仿宋_GB2312"/>
                <w:i w:val="0"/>
                <w:iCs w:val="0"/>
                <w:color w:val="000000"/>
                <w:sz w:val="20"/>
                <w:szCs w:val="20"/>
                <w:u w:val="none"/>
              </w:rPr>
            </w:pP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9E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EF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color w:val="000000"/>
                <w:kern w:val="0"/>
                <w:sz w:val="18"/>
                <w:szCs w:val="18"/>
                <w:u w:val="none"/>
                <w:lang w:val="en-US" w:eastAsia="zh-CN" w:bidi="ar"/>
              </w:rPr>
              <w:t>财政供养人员控制率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864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100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E5AE5">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85C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244E">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6</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3D111">
            <w:pPr>
              <w:jc w:val="center"/>
              <w:rPr>
                <w:rFonts w:hint="eastAsia" w:ascii="宋体" w:hAnsi="宋体" w:eastAsia="宋体" w:cs="宋体"/>
                <w:i w:val="0"/>
                <w:iCs w:val="0"/>
                <w:color w:val="000000"/>
                <w:sz w:val="22"/>
                <w:szCs w:val="22"/>
                <w:u w:val="none"/>
              </w:rPr>
            </w:pPr>
          </w:p>
        </w:tc>
      </w:tr>
      <w:tr w14:paraId="00CE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1477">
            <w:pPr>
              <w:jc w:val="center"/>
              <w:rPr>
                <w:rFonts w:hint="default" w:ascii="仿宋_GB2312" w:hAnsi="宋体" w:eastAsia="仿宋_GB2312" w:cs="仿宋_GB2312"/>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16043">
            <w:pPr>
              <w:jc w:val="center"/>
              <w:rPr>
                <w:rFonts w:hint="default" w:ascii="仿宋_GB2312" w:hAnsi="宋体" w:eastAsia="仿宋_GB2312" w:cs="仿宋_GB2312"/>
                <w:i w:val="0"/>
                <w:iCs w:val="0"/>
                <w:color w:val="000000"/>
                <w:sz w:val="20"/>
                <w:szCs w:val="20"/>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C9448">
            <w:pPr>
              <w:jc w:val="center"/>
              <w:rPr>
                <w:rFonts w:hint="eastAsia" w:ascii="宋体" w:hAnsi="宋体" w:eastAsia="宋体" w:cs="宋体"/>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F0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color w:val="000000"/>
                <w:kern w:val="0"/>
                <w:sz w:val="18"/>
                <w:szCs w:val="18"/>
                <w:u w:val="none"/>
                <w:lang w:val="en-US" w:eastAsia="zh-CN" w:bidi="ar"/>
              </w:rPr>
              <w:t>“三公经费”控制率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0A8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100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D1408">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57C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61A1">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6</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B1212">
            <w:pPr>
              <w:jc w:val="center"/>
              <w:rPr>
                <w:rFonts w:hint="eastAsia" w:ascii="宋体" w:hAnsi="宋体" w:eastAsia="宋体" w:cs="宋体"/>
                <w:i w:val="0"/>
                <w:iCs w:val="0"/>
                <w:color w:val="000000"/>
                <w:sz w:val="22"/>
                <w:szCs w:val="22"/>
                <w:u w:val="none"/>
              </w:rPr>
            </w:pPr>
          </w:p>
        </w:tc>
      </w:tr>
      <w:tr w14:paraId="1516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048C6">
            <w:pPr>
              <w:jc w:val="center"/>
              <w:rPr>
                <w:rFonts w:hint="default" w:ascii="仿宋_GB2312" w:hAnsi="宋体" w:eastAsia="仿宋_GB2312" w:cs="仿宋_GB2312"/>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82E15">
            <w:pPr>
              <w:jc w:val="center"/>
              <w:rPr>
                <w:rFonts w:hint="default" w:ascii="仿宋_GB2312" w:hAnsi="宋体" w:eastAsia="仿宋_GB2312" w:cs="仿宋_GB2312"/>
                <w:i w:val="0"/>
                <w:iCs w:val="0"/>
                <w:color w:val="000000"/>
                <w:sz w:val="20"/>
                <w:szCs w:val="20"/>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6499C">
            <w:pPr>
              <w:jc w:val="center"/>
              <w:rPr>
                <w:rFonts w:hint="eastAsia" w:ascii="宋体" w:hAnsi="宋体" w:eastAsia="宋体" w:cs="宋体"/>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93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color w:val="000000"/>
                <w:kern w:val="0"/>
                <w:sz w:val="18"/>
                <w:szCs w:val="18"/>
                <w:u w:val="none"/>
                <w:lang w:val="en-US" w:eastAsia="zh-CN" w:bidi="ar"/>
              </w:rPr>
              <w:t>政府采购执行率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B3C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100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8D471">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E96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3F85">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6</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C24B8">
            <w:pPr>
              <w:jc w:val="center"/>
              <w:rPr>
                <w:rFonts w:hint="eastAsia" w:ascii="宋体" w:hAnsi="宋体" w:eastAsia="宋体" w:cs="宋体"/>
                <w:i w:val="0"/>
                <w:iCs w:val="0"/>
                <w:color w:val="000000"/>
                <w:sz w:val="22"/>
                <w:szCs w:val="22"/>
                <w:u w:val="none"/>
              </w:rPr>
            </w:pPr>
          </w:p>
        </w:tc>
      </w:tr>
      <w:tr w14:paraId="4C0E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DEC5D">
            <w:pPr>
              <w:jc w:val="center"/>
              <w:rPr>
                <w:rFonts w:hint="default" w:ascii="仿宋_GB2312" w:hAnsi="宋体" w:eastAsia="仿宋_GB2312" w:cs="仿宋_GB2312"/>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46A4">
            <w:pPr>
              <w:jc w:val="center"/>
              <w:rPr>
                <w:rFonts w:hint="default" w:ascii="仿宋_GB2312" w:hAnsi="宋体" w:eastAsia="仿宋_GB2312" w:cs="仿宋_GB2312"/>
                <w:i w:val="0"/>
                <w:iCs w:val="0"/>
                <w:color w:val="000000"/>
                <w:sz w:val="20"/>
                <w:szCs w:val="20"/>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3DE27">
            <w:pPr>
              <w:jc w:val="center"/>
              <w:rPr>
                <w:rFonts w:hint="eastAsia" w:ascii="宋体" w:hAnsi="宋体" w:eastAsia="宋体" w:cs="宋体"/>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6C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color w:val="000000"/>
                <w:kern w:val="0"/>
                <w:sz w:val="18"/>
                <w:szCs w:val="18"/>
                <w:u w:val="none"/>
                <w:lang w:val="en-US" w:eastAsia="zh-CN" w:bidi="ar"/>
              </w:rPr>
              <w:t>固定资产利用率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51C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100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01DC7">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9E4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E8C1">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5</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61BE3">
            <w:pPr>
              <w:jc w:val="center"/>
              <w:rPr>
                <w:rFonts w:hint="eastAsia" w:ascii="宋体" w:hAnsi="宋体" w:eastAsia="宋体" w:cs="宋体"/>
                <w:i w:val="0"/>
                <w:iCs w:val="0"/>
                <w:color w:val="000000"/>
                <w:sz w:val="22"/>
                <w:szCs w:val="22"/>
                <w:u w:val="none"/>
              </w:rPr>
            </w:pPr>
          </w:p>
        </w:tc>
      </w:tr>
      <w:tr w14:paraId="2797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3403F">
            <w:pPr>
              <w:jc w:val="center"/>
              <w:rPr>
                <w:rFonts w:hint="default" w:ascii="仿宋_GB2312" w:hAnsi="宋体" w:eastAsia="仿宋_GB2312" w:cs="仿宋_GB2312"/>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DEE74">
            <w:pPr>
              <w:jc w:val="center"/>
              <w:rPr>
                <w:rFonts w:hint="default" w:ascii="仿宋_GB2312" w:hAnsi="宋体" w:eastAsia="仿宋_GB2312" w:cs="仿宋_GB2312"/>
                <w:i w:val="0"/>
                <w:iCs w:val="0"/>
                <w:color w:val="000000"/>
                <w:sz w:val="20"/>
                <w:szCs w:val="20"/>
                <w:u w:val="none"/>
              </w:rPr>
            </w:pP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F8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CE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color w:val="000000"/>
                <w:kern w:val="0"/>
                <w:sz w:val="18"/>
                <w:szCs w:val="18"/>
                <w:u w:val="none"/>
                <w:lang w:val="en-US" w:eastAsia="zh-CN" w:bidi="ar"/>
              </w:rPr>
              <w:t>工资发放时效</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718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发放及时</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C798F">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按时发放</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250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8081">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5</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2D617">
            <w:pPr>
              <w:jc w:val="left"/>
              <w:rPr>
                <w:rFonts w:hint="eastAsia" w:ascii="宋体" w:hAnsi="宋体" w:eastAsia="宋体" w:cs="宋体"/>
                <w:i w:val="0"/>
                <w:iCs w:val="0"/>
                <w:color w:val="000000"/>
                <w:sz w:val="22"/>
                <w:szCs w:val="22"/>
                <w:u w:val="none"/>
              </w:rPr>
            </w:pPr>
          </w:p>
        </w:tc>
      </w:tr>
      <w:tr w14:paraId="23029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B40B">
            <w:pPr>
              <w:jc w:val="center"/>
              <w:rPr>
                <w:rFonts w:hint="default" w:ascii="仿宋_GB2312" w:hAnsi="宋体" w:eastAsia="仿宋_GB2312" w:cs="仿宋_GB2312"/>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30623">
            <w:pPr>
              <w:jc w:val="center"/>
              <w:rPr>
                <w:rFonts w:hint="default" w:ascii="仿宋_GB2312" w:hAnsi="宋体" w:eastAsia="仿宋_GB2312" w:cs="仿宋_GB2312"/>
                <w:i w:val="0"/>
                <w:iCs w:val="0"/>
                <w:color w:val="000000"/>
                <w:sz w:val="20"/>
                <w:szCs w:val="20"/>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C1D4">
            <w:pPr>
              <w:jc w:val="center"/>
              <w:rPr>
                <w:rFonts w:hint="eastAsia" w:ascii="宋体" w:hAnsi="宋体" w:eastAsia="宋体" w:cs="宋体"/>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62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color w:val="000000"/>
                <w:kern w:val="0"/>
                <w:sz w:val="18"/>
                <w:szCs w:val="18"/>
                <w:u w:val="none"/>
                <w:lang w:val="en-US" w:eastAsia="zh-CN" w:bidi="ar"/>
              </w:rPr>
              <w:t>工作完成率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CA1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100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8D635">
            <w:pPr>
              <w:keepNext w:val="0"/>
              <w:keepLines w:val="0"/>
              <w:widowControl/>
              <w:suppressLineNumbers w:val="0"/>
              <w:jc w:val="center"/>
              <w:textAlignment w:val="center"/>
              <w:rPr>
                <w:rFonts w:hint="default"/>
                <w:lang w:val="en-US"/>
              </w:rPr>
            </w:pPr>
            <w:r>
              <w:rPr>
                <w:rFonts w:hint="eastAsia" w:ascii="仿宋_GB2312" w:hAnsi="宋体" w:eastAsia="仿宋_GB2312" w:cs="仿宋_GB2312"/>
                <w:i w:val="0"/>
                <w:color w:val="000000"/>
                <w:kern w:val="0"/>
                <w:sz w:val="18"/>
                <w:szCs w:val="18"/>
                <w:u w:val="none"/>
                <w:lang w:val="en-US" w:eastAsia="zh-CN" w:bidi="ar"/>
              </w:rPr>
              <w:t>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FB1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2EE5">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4</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C30BB">
            <w:pPr>
              <w:jc w:val="center"/>
              <w:rPr>
                <w:rFonts w:hint="eastAsia" w:ascii="宋体" w:hAnsi="宋体" w:eastAsia="宋体" w:cs="宋体"/>
                <w:i w:val="0"/>
                <w:iCs w:val="0"/>
                <w:color w:val="000000"/>
                <w:sz w:val="22"/>
                <w:szCs w:val="22"/>
                <w:u w:val="none"/>
              </w:rPr>
            </w:pPr>
          </w:p>
        </w:tc>
      </w:tr>
      <w:tr w14:paraId="1C92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26C0E">
            <w:pPr>
              <w:jc w:val="center"/>
              <w:rPr>
                <w:rFonts w:hint="default" w:ascii="仿宋_GB2312" w:hAnsi="宋体" w:eastAsia="仿宋_GB2312" w:cs="仿宋_GB2312"/>
                <w:i w:val="0"/>
                <w:iCs w:val="0"/>
                <w:color w:val="000000"/>
                <w:sz w:val="20"/>
                <w:szCs w:val="20"/>
                <w:u w:val="none"/>
              </w:rPr>
            </w:pP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E49B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效益指标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7F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04AF">
            <w:pPr>
              <w:jc w:val="center"/>
              <w:rPr>
                <w:rFonts w:hint="eastAsia" w:ascii="仿宋" w:hAnsi="仿宋" w:eastAsia="仿宋" w:cs="仿宋"/>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774E">
            <w:pPr>
              <w:jc w:val="center"/>
              <w:rPr>
                <w:rFonts w:hint="default" w:ascii="仿宋_GB2312" w:hAnsi="宋体" w:eastAsia="仿宋_GB2312" w:cs="仿宋_GB2312"/>
                <w:i w:val="0"/>
                <w:iCs w:val="0"/>
                <w:color w:val="000000"/>
                <w:sz w:val="20"/>
                <w:szCs w:val="20"/>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85066">
            <w:pPr>
              <w:jc w:val="cente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7499">
            <w:pPr>
              <w:jc w:val="center"/>
              <w:rPr>
                <w:rFonts w:hint="default" w:ascii="仿宋_GB2312" w:hAnsi="宋体" w:eastAsia="仿宋_GB2312" w:cs="仿宋_GB2312"/>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C287">
            <w:pPr>
              <w:jc w:val="center"/>
            </w:pP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06CE6">
            <w:pPr>
              <w:jc w:val="center"/>
              <w:rPr>
                <w:rFonts w:hint="eastAsia" w:ascii="宋体" w:hAnsi="宋体" w:eastAsia="宋体" w:cs="宋体"/>
                <w:i w:val="0"/>
                <w:iCs w:val="0"/>
                <w:color w:val="000000"/>
                <w:sz w:val="22"/>
                <w:szCs w:val="22"/>
                <w:u w:val="none"/>
              </w:rPr>
            </w:pPr>
          </w:p>
        </w:tc>
      </w:tr>
      <w:tr w14:paraId="0DAC7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A3E1">
            <w:pPr>
              <w:jc w:val="center"/>
              <w:rPr>
                <w:rFonts w:hint="default" w:ascii="仿宋_GB2312" w:hAnsi="宋体" w:eastAsia="仿宋_GB2312" w:cs="仿宋_GB2312"/>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12F51">
            <w:pPr>
              <w:jc w:val="center"/>
              <w:rPr>
                <w:rFonts w:hint="default" w:ascii="仿宋_GB2312" w:hAnsi="宋体" w:eastAsia="仿宋_GB2312" w:cs="仿宋_GB2312"/>
                <w:i w:val="0"/>
                <w:iCs w:val="0"/>
                <w:color w:val="000000"/>
                <w:sz w:val="20"/>
                <w:szCs w:val="20"/>
                <w:u w:val="none"/>
              </w:rPr>
            </w:pP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C87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BB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color w:val="000000"/>
                <w:kern w:val="0"/>
                <w:sz w:val="18"/>
                <w:szCs w:val="18"/>
                <w:u w:val="none"/>
                <w:lang w:val="en-US" w:eastAsia="zh-CN" w:bidi="ar"/>
              </w:rPr>
              <w:t>提升城市管理水平</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19D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提升城市管理水平</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CAAEC">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提高</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2F6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477B">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5</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96681">
            <w:pPr>
              <w:jc w:val="center"/>
              <w:rPr>
                <w:rFonts w:hint="eastAsia" w:ascii="宋体" w:hAnsi="宋体" w:eastAsia="宋体" w:cs="宋体"/>
                <w:i w:val="0"/>
                <w:iCs w:val="0"/>
                <w:color w:val="000000"/>
                <w:sz w:val="22"/>
                <w:szCs w:val="22"/>
                <w:u w:val="none"/>
              </w:rPr>
            </w:pPr>
          </w:p>
        </w:tc>
      </w:tr>
      <w:tr w14:paraId="36AA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AED85">
            <w:pPr>
              <w:jc w:val="center"/>
              <w:rPr>
                <w:rFonts w:hint="default" w:ascii="仿宋_GB2312" w:hAnsi="宋体" w:eastAsia="仿宋_GB2312" w:cs="仿宋_GB2312"/>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7BEEB">
            <w:pPr>
              <w:jc w:val="center"/>
              <w:rPr>
                <w:rFonts w:hint="default" w:ascii="仿宋_GB2312" w:hAnsi="宋体" w:eastAsia="仿宋_GB2312" w:cs="仿宋_GB2312"/>
                <w:i w:val="0"/>
                <w:iCs w:val="0"/>
                <w:color w:val="000000"/>
                <w:sz w:val="20"/>
                <w:szCs w:val="20"/>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6E94C">
            <w:pPr>
              <w:jc w:val="center"/>
              <w:rPr>
                <w:rFonts w:hint="eastAsia" w:ascii="宋体" w:hAnsi="宋体" w:eastAsia="宋体" w:cs="宋体"/>
                <w:i w:val="0"/>
                <w:iCs w:val="0"/>
                <w:color w:val="000000"/>
                <w:sz w:val="16"/>
                <w:szCs w:val="16"/>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BE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color w:val="000000"/>
                <w:kern w:val="0"/>
                <w:sz w:val="18"/>
                <w:szCs w:val="18"/>
                <w:u w:val="none"/>
                <w:lang w:val="en-US" w:eastAsia="zh-CN" w:bidi="ar"/>
              </w:rPr>
              <w:t>创造良好市容环境</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8CC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良好市容环境</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4A55D">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良好</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EFF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0D2D">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5</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5EA08">
            <w:pPr>
              <w:jc w:val="center"/>
              <w:rPr>
                <w:rFonts w:hint="eastAsia" w:ascii="宋体" w:hAnsi="宋体" w:eastAsia="宋体" w:cs="宋体"/>
                <w:i w:val="0"/>
                <w:iCs w:val="0"/>
                <w:color w:val="000000"/>
                <w:sz w:val="22"/>
                <w:szCs w:val="22"/>
                <w:u w:val="none"/>
              </w:rPr>
            </w:pPr>
          </w:p>
        </w:tc>
      </w:tr>
      <w:tr w14:paraId="1ADA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5DD79">
            <w:pPr>
              <w:jc w:val="center"/>
              <w:rPr>
                <w:rFonts w:hint="default" w:ascii="仿宋_GB2312" w:hAnsi="宋体" w:eastAsia="仿宋_GB2312" w:cs="仿宋_GB2312"/>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B8796">
            <w:pPr>
              <w:jc w:val="center"/>
              <w:rPr>
                <w:rFonts w:hint="default" w:ascii="仿宋_GB2312" w:hAnsi="宋体" w:eastAsia="仿宋_GB2312" w:cs="仿宋_GB2312"/>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8B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C542">
            <w:pPr>
              <w:jc w:val="center"/>
              <w:rPr>
                <w:rFonts w:hint="eastAsia" w:ascii="仿宋" w:hAnsi="仿宋" w:eastAsia="仿宋" w:cs="仿宋"/>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ACD8">
            <w:pPr>
              <w:jc w:val="center"/>
              <w:rPr>
                <w:rFonts w:hint="default" w:ascii="仿宋_GB2312" w:hAnsi="宋体" w:eastAsia="仿宋_GB2312" w:cs="仿宋_GB2312"/>
                <w:i w:val="0"/>
                <w:iCs w:val="0"/>
                <w:color w:val="000000"/>
                <w:sz w:val="20"/>
                <w:szCs w:val="20"/>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A8F39">
            <w:pPr>
              <w:jc w:val="cente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1D39">
            <w:pPr>
              <w:jc w:val="center"/>
              <w:rPr>
                <w:rFonts w:hint="default" w:ascii="仿宋_GB2312" w:hAnsi="宋体" w:eastAsia="仿宋_GB2312" w:cs="仿宋_GB2312"/>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7E20">
            <w:pPr>
              <w:jc w:val="center"/>
            </w:pP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0C6D5">
            <w:pPr>
              <w:jc w:val="center"/>
              <w:rPr>
                <w:rFonts w:hint="eastAsia" w:ascii="宋体" w:hAnsi="宋体" w:eastAsia="宋体" w:cs="宋体"/>
                <w:i w:val="0"/>
                <w:iCs w:val="0"/>
                <w:color w:val="000000"/>
                <w:sz w:val="22"/>
                <w:szCs w:val="22"/>
                <w:u w:val="none"/>
              </w:rPr>
            </w:pPr>
          </w:p>
        </w:tc>
      </w:tr>
      <w:tr w14:paraId="64B1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C5A8D">
            <w:pPr>
              <w:jc w:val="center"/>
              <w:rPr>
                <w:rFonts w:hint="default" w:ascii="仿宋_GB2312" w:hAnsi="宋体" w:eastAsia="仿宋_GB2312" w:cs="仿宋_GB2312"/>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B0C2">
            <w:pPr>
              <w:jc w:val="center"/>
              <w:rPr>
                <w:rFonts w:hint="default" w:ascii="仿宋_GB2312" w:hAnsi="宋体" w:eastAsia="仿宋_GB2312" w:cs="仿宋_GB2312"/>
                <w:i w:val="0"/>
                <w:iCs w:val="0"/>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E63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color w:val="000000"/>
                <w:kern w:val="0"/>
                <w:sz w:val="14"/>
                <w:szCs w:val="14"/>
                <w:u w:val="none"/>
                <w:lang w:val="en-US" w:eastAsia="zh-CN" w:bidi="ar"/>
              </w:rPr>
              <w:t>可持续影响指标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0A5C">
            <w:pPr>
              <w:jc w:val="center"/>
              <w:rPr>
                <w:rFonts w:hint="eastAsia" w:ascii="仿宋" w:hAnsi="仿宋" w:eastAsia="仿宋" w:cs="仿宋"/>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B8F0">
            <w:pPr>
              <w:jc w:val="center"/>
              <w:rPr>
                <w:rFonts w:hint="default" w:ascii="仿宋_GB2312" w:hAnsi="宋体" w:eastAsia="仿宋_GB2312" w:cs="仿宋_GB2312"/>
                <w:i w:val="0"/>
                <w:iCs w:val="0"/>
                <w:color w:val="000000"/>
                <w:sz w:val="20"/>
                <w:szCs w:val="20"/>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98F02">
            <w:pPr>
              <w:jc w:val="cente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62C3">
            <w:pPr>
              <w:jc w:val="center"/>
              <w:rPr>
                <w:rFonts w:hint="default" w:ascii="仿宋_GB2312" w:hAnsi="宋体" w:eastAsia="仿宋_GB2312" w:cs="仿宋_GB2312"/>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B9E6">
            <w:pPr>
              <w:jc w:val="center"/>
            </w:pP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3005F">
            <w:pPr>
              <w:jc w:val="center"/>
              <w:rPr>
                <w:rFonts w:hint="eastAsia" w:ascii="宋体" w:hAnsi="宋体" w:eastAsia="宋体" w:cs="宋体"/>
                <w:i w:val="0"/>
                <w:iCs w:val="0"/>
                <w:color w:val="000000"/>
                <w:sz w:val="22"/>
                <w:szCs w:val="22"/>
                <w:u w:val="none"/>
              </w:rPr>
            </w:pPr>
          </w:p>
        </w:tc>
      </w:tr>
      <w:tr w14:paraId="37DD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E3ABE">
            <w:pPr>
              <w:jc w:val="center"/>
              <w:rPr>
                <w:rFonts w:hint="default" w:ascii="仿宋_GB2312" w:hAnsi="宋体" w:eastAsia="仿宋_GB2312" w:cs="仿宋_GB2312"/>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64EF">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满意度指标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D9D0">
            <w:pPr>
              <w:keepNext w:val="0"/>
              <w:keepLines w:val="0"/>
              <w:widowControl/>
              <w:suppressLineNumbers w:val="0"/>
              <w:jc w:val="center"/>
              <w:textAlignment w:val="center"/>
              <w:rPr>
                <w:rFonts w:hint="eastAsia" w:ascii="宋体" w:hAnsi="宋体" w:eastAsia="宋体" w:cs="宋体"/>
                <w:i w:val="0"/>
                <w:color w:val="000000"/>
                <w:kern w:val="0"/>
                <w:sz w:val="14"/>
                <w:szCs w:val="14"/>
                <w:u w:val="none"/>
                <w:lang w:val="en-US" w:eastAsia="zh-CN" w:bidi="ar"/>
              </w:rPr>
            </w:pPr>
            <w:r>
              <w:rPr>
                <w:rFonts w:hint="eastAsia" w:ascii="宋体" w:hAnsi="宋体" w:eastAsia="宋体" w:cs="宋体"/>
                <w:i w:val="0"/>
                <w:color w:val="000000"/>
                <w:kern w:val="0"/>
                <w:sz w:val="14"/>
                <w:szCs w:val="14"/>
                <w:u w:val="none"/>
                <w:lang w:val="en-US" w:eastAsia="zh-CN" w:bidi="ar"/>
              </w:rPr>
              <w:t>服务对象满意度指标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16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color w:val="000000"/>
                <w:kern w:val="0"/>
                <w:sz w:val="18"/>
                <w:szCs w:val="18"/>
                <w:u w:val="none"/>
                <w:lang w:val="en-US" w:eastAsia="zh-CN" w:bidi="ar"/>
              </w:rPr>
              <w:t>群众满意度</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AF6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95</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D3235">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93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F49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color w:val="000000"/>
                <w:kern w:val="0"/>
                <w:sz w:val="18"/>
                <w:szCs w:val="18"/>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038C">
            <w:pPr>
              <w:keepNext w:val="0"/>
              <w:keepLines w:val="0"/>
              <w:widowControl/>
              <w:suppressLineNumbers w:val="0"/>
              <w:jc w:val="center"/>
              <w:textAlignment w:val="center"/>
            </w:pPr>
            <w:r>
              <w:rPr>
                <w:rFonts w:hint="eastAsia" w:ascii="仿宋_GB2312" w:hAnsi="宋体" w:eastAsia="仿宋_GB2312" w:cs="仿宋_GB2312"/>
                <w:i w:val="0"/>
                <w:color w:val="000000"/>
                <w:kern w:val="0"/>
                <w:sz w:val="18"/>
                <w:szCs w:val="18"/>
                <w:u w:val="none"/>
                <w:lang w:val="en-US" w:eastAsia="zh-CN" w:bidi="ar"/>
              </w:rPr>
              <w:t>8</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4A37C">
            <w:pPr>
              <w:jc w:val="center"/>
              <w:rPr>
                <w:rFonts w:hint="eastAsia" w:ascii="宋体" w:hAnsi="宋体" w:eastAsia="宋体" w:cs="宋体"/>
                <w:i w:val="0"/>
                <w:iCs w:val="0"/>
                <w:color w:val="000000"/>
                <w:sz w:val="22"/>
                <w:szCs w:val="22"/>
                <w:u w:val="none"/>
              </w:rPr>
            </w:pPr>
          </w:p>
        </w:tc>
      </w:tr>
      <w:tr w14:paraId="74C5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606ED">
            <w:pPr>
              <w:jc w:val="center"/>
              <w:rPr>
                <w:rFonts w:hint="default" w:ascii="仿宋_GB2312" w:hAnsi="宋体" w:eastAsia="仿宋_GB2312" w:cs="仿宋_GB2312"/>
                <w:i w:val="0"/>
                <w:iCs w:val="0"/>
                <w:color w:val="000000"/>
                <w:sz w:val="20"/>
                <w:szCs w:val="20"/>
                <w:u w:val="none"/>
              </w:rPr>
            </w:pP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70531">
            <w:pPr>
              <w:keepNext w:val="0"/>
              <w:keepLines w:val="0"/>
              <w:widowControl/>
              <w:suppressLineNumbers w:val="0"/>
              <w:jc w:val="center"/>
              <w:textAlignment w:val="center"/>
              <w:rPr>
                <w:rFonts w:hint="eastAsia" w:ascii="仿宋_GB2312" w:hAnsi="宋体" w:eastAsia="仿宋_GB2312" w:cs="仿宋_GB2312"/>
                <w:i w:val="0"/>
                <w:color w:val="000000"/>
                <w:kern w:val="0"/>
                <w:sz w:val="16"/>
                <w:szCs w:val="16"/>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成本指标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6E03">
            <w:pPr>
              <w:keepNext w:val="0"/>
              <w:keepLines w:val="0"/>
              <w:widowControl/>
              <w:suppressLineNumbers w:val="0"/>
              <w:jc w:val="center"/>
              <w:textAlignment w:val="center"/>
              <w:rPr>
                <w:rFonts w:hint="eastAsia" w:ascii="宋体" w:hAnsi="宋体" w:eastAsia="宋体" w:cs="宋体"/>
                <w:i w:val="0"/>
                <w:color w:val="000000"/>
                <w:kern w:val="0"/>
                <w:sz w:val="14"/>
                <w:szCs w:val="14"/>
                <w:u w:val="none"/>
                <w:lang w:val="en-US" w:eastAsia="zh-CN" w:bidi="ar"/>
              </w:rPr>
            </w:pPr>
            <w:r>
              <w:rPr>
                <w:rFonts w:hint="eastAsia" w:ascii="宋体" w:hAnsi="宋体" w:eastAsia="宋体" w:cs="宋体"/>
                <w:i w:val="0"/>
                <w:color w:val="000000"/>
                <w:kern w:val="0"/>
                <w:sz w:val="16"/>
                <w:szCs w:val="16"/>
                <w:u w:val="none"/>
                <w:lang w:val="en-US" w:eastAsia="zh-CN" w:bidi="ar"/>
              </w:rPr>
              <w:t>经济成本指标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4CC">
            <w:pPr>
              <w:keepNext w:val="0"/>
              <w:keepLines w:val="0"/>
              <w:widowControl/>
              <w:suppressLineNumbers w:val="0"/>
              <w:jc w:val="center"/>
              <w:textAlignment w:val="center"/>
              <w:rPr>
                <w:rFonts w:hint="default" w:ascii="仿宋" w:hAnsi="仿宋" w:eastAsia="仿宋" w:cs="仿宋"/>
                <w:i w:val="0"/>
                <w:color w:val="000000"/>
                <w:kern w:val="0"/>
                <w:sz w:val="18"/>
                <w:szCs w:val="18"/>
                <w:u w:val="none"/>
                <w:lang w:val="en-US" w:eastAsia="zh-CN" w:bidi="ar"/>
              </w:rPr>
            </w:pPr>
            <w:r>
              <w:rPr>
                <w:rFonts w:hint="default" w:ascii="仿宋" w:hAnsi="仿宋" w:eastAsia="仿宋" w:cs="仿宋"/>
                <w:i w:val="0"/>
                <w:color w:val="000000"/>
                <w:kern w:val="0"/>
                <w:sz w:val="18"/>
                <w:szCs w:val="18"/>
                <w:u w:val="none"/>
                <w:lang w:val="en-US" w:eastAsia="zh-CN" w:bidi="ar"/>
              </w:rPr>
              <w:t>部门预算支出金额</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8C00">
            <w:pPr>
              <w:keepNext w:val="0"/>
              <w:keepLines w:val="0"/>
              <w:widowControl/>
              <w:suppressLineNumbers w:val="0"/>
              <w:jc w:val="center"/>
              <w:textAlignment w:val="center"/>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23217</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A0C3B">
            <w:pPr>
              <w:keepNext w:val="0"/>
              <w:keepLines w:val="0"/>
              <w:widowControl/>
              <w:suppressLineNumbers w:val="0"/>
              <w:jc w:val="center"/>
              <w:textAlignment w:val="center"/>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23217</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4375">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7AC6">
            <w:pPr>
              <w:keepNext w:val="0"/>
              <w:keepLines w:val="0"/>
              <w:widowControl/>
              <w:suppressLineNumbers w:val="0"/>
              <w:jc w:val="center"/>
              <w:textAlignment w:val="center"/>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10</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1E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19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659D">
            <w:pPr>
              <w:jc w:val="center"/>
              <w:rPr>
                <w:rFonts w:hint="default" w:ascii="仿宋_GB2312" w:hAnsi="宋体" w:eastAsia="仿宋_GB2312" w:cs="仿宋_GB2312"/>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C586">
            <w:pPr>
              <w:jc w:val="center"/>
              <w:rPr>
                <w:rFonts w:hint="eastAsia" w:ascii="仿宋_GB2312" w:hAnsi="宋体" w:eastAsia="仿宋_GB2312" w:cs="仿宋_GB2312"/>
                <w:i w:val="0"/>
                <w:color w:val="000000"/>
                <w:kern w:val="0"/>
                <w:sz w:val="16"/>
                <w:szCs w:val="16"/>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E06E">
            <w:pPr>
              <w:keepNext w:val="0"/>
              <w:keepLines w:val="0"/>
              <w:widowControl/>
              <w:suppressLineNumbers w:val="0"/>
              <w:jc w:val="center"/>
              <w:textAlignment w:val="center"/>
              <w:rPr>
                <w:rFonts w:hint="eastAsia" w:ascii="宋体" w:hAnsi="宋体" w:eastAsia="宋体" w:cs="宋体"/>
                <w:i w:val="0"/>
                <w:color w:val="000000"/>
                <w:kern w:val="0"/>
                <w:sz w:val="14"/>
                <w:szCs w:val="14"/>
                <w:u w:val="none"/>
                <w:lang w:val="en-US" w:eastAsia="zh-CN" w:bidi="ar"/>
              </w:rPr>
            </w:pPr>
            <w:r>
              <w:rPr>
                <w:rFonts w:hint="eastAsia" w:ascii="宋体" w:hAnsi="宋体" w:eastAsia="宋体" w:cs="宋体"/>
                <w:i w:val="0"/>
                <w:color w:val="000000"/>
                <w:kern w:val="0"/>
                <w:sz w:val="16"/>
                <w:szCs w:val="16"/>
                <w:u w:val="none"/>
                <w:lang w:val="en-US" w:eastAsia="zh-CN" w:bidi="ar"/>
              </w:rPr>
              <w:t>社会成本指标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CC6">
            <w:pPr>
              <w:keepNext w:val="0"/>
              <w:keepLines w:val="0"/>
              <w:widowControl/>
              <w:suppressLineNumbers w:val="0"/>
              <w:jc w:val="center"/>
              <w:textAlignment w:val="center"/>
              <w:rPr>
                <w:rFonts w:hint="default" w:ascii="仿宋" w:hAnsi="仿宋" w:eastAsia="仿宋" w:cs="仿宋"/>
                <w:i w:val="0"/>
                <w:color w:val="000000"/>
                <w:kern w:val="0"/>
                <w:sz w:val="18"/>
                <w:szCs w:val="18"/>
                <w:u w:val="none"/>
                <w:lang w:val="en-US" w:eastAsia="zh-CN" w:bidi="ar"/>
              </w:rPr>
            </w:pPr>
            <w:r>
              <w:rPr>
                <w:rFonts w:hint="default" w:ascii="仿宋" w:hAnsi="仿宋" w:eastAsia="仿宋" w:cs="仿宋"/>
                <w:i w:val="0"/>
                <w:color w:val="000000"/>
                <w:kern w:val="0"/>
                <w:sz w:val="18"/>
                <w:szCs w:val="18"/>
                <w:u w:val="none"/>
                <w:lang w:val="en-US" w:eastAsia="zh-CN" w:bidi="ar"/>
              </w:rPr>
              <w:t>生活垃圾处理费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CECE">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1800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2E493">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2260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FE31">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245A">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6</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DFD79">
            <w:pPr>
              <w:jc w:val="center"/>
              <w:rPr>
                <w:rFonts w:hint="eastAsia" w:ascii="宋体" w:hAnsi="宋体" w:eastAsia="宋体" w:cs="宋体"/>
                <w:i w:val="0"/>
                <w:iCs w:val="0"/>
                <w:color w:val="000000"/>
                <w:sz w:val="22"/>
                <w:szCs w:val="22"/>
                <w:u w:val="none"/>
              </w:rPr>
            </w:pPr>
          </w:p>
        </w:tc>
      </w:tr>
      <w:tr w14:paraId="4B6F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9A365">
            <w:pPr>
              <w:jc w:val="center"/>
              <w:rPr>
                <w:rFonts w:hint="default" w:ascii="仿宋_GB2312" w:hAnsi="宋体" w:eastAsia="仿宋_GB2312" w:cs="仿宋_GB2312"/>
                <w:i w:val="0"/>
                <w:iCs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F3E2C">
            <w:pPr>
              <w:jc w:val="center"/>
              <w:rPr>
                <w:rFonts w:hint="eastAsia" w:ascii="仿宋_GB2312" w:hAnsi="宋体" w:eastAsia="仿宋_GB2312" w:cs="仿宋_GB2312"/>
                <w:i w:val="0"/>
                <w:color w:val="000000"/>
                <w:kern w:val="0"/>
                <w:sz w:val="16"/>
                <w:szCs w:val="16"/>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4763">
            <w:pPr>
              <w:keepNext w:val="0"/>
              <w:keepLines w:val="0"/>
              <w:widowControl/>
              <w:suppressLineNumbers w:val="0"/>
              <w:jc w:val="center"/>
              <w:textAlignment w:val="center"/>
              <w:rPr>
                <w:rFonts w:hint="eastAsia" w:ascii="宋体" w:hAnsi="宋体" w:eastAsia="宋体" w:cs="宋体"/>
                <w:i w:val="0"/>
                <w:color w:val="000000"/>
                <w:kern w:val="0"/>
                <w:sz w:val="14"/>
                <w:szCs w:val="14"/>
                <w:u w:val="none"/>
                <w:lang w:val="en-US" w:eastAsia="zh-CN" w:bidi="ar"/>
              </w:rPr>
            </w:pPr>
            <w:r>
              <w:rPr>
                <w:rFonts w:hint="eastAsia" w:ascii="宋体" w:hAnsi="宋体" w:eastAsia="宋体" w:cs="宋体"/>
                <w:i w:val="0"/>
                <w:color w:val="000000"/>
                <w:kern w:val="0"/>
                <w:sz w:val="16"/>
                <w:szCs w:val="16"/>
                <w:u w:val="none"/>
                <w:lang w:val="en-US" w:eastAsia="zh-CN" w:bidi="ar"/>
              </w:rPr>
              <w:t>生态环境成本指标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11BE">
            <w:pPr>
              <w:keepNext w:val="0"/>
              <w:keepLines w:val="0"/>
              <w:widowControl/>
              <w:suppressLineNumbers w:val="0"/>
              <w:jc w:val="center"/>
              <w:textAlignment w:val="center"/>
              <w:rPr>
                <w:rFonts w:hint="default" w:ascii="仿宋" w:hAnsi="仿宋" w:eastAsia="仿宋" w:cs="仿宋"/>
                <w:i w:val="0"/>
                <w:color w:val="000000"/>
                <w:kern w:val="0"/>
                <w:sz w:val="18"/>
                <w:szCs w:val="18"/>
                <w:u w:val="none"/>
                <w:lang w:val="en-US" w:eastAsia="zh-CN" w:bidi="ar"/>
              </w:rPr>
            </w:pPr>
            <w:r>
              <w:rPr>
                <w:rFonts w:hint="default" w:ascii="仿宋" w:hAnsi="仿宋" w:eastAsia="仿宋" w:cs="仿宋"/>
                <w:i w:val="0"/>
                <w:color w:val="000000"/>
                <w:kern w:val="0"/>
                <w:sz w:val="18"/>
                <w:szCs w:val="18"/>
                <w:u w:val="none"/>
                <w:lang w:val="en-US" w:eastAsia="zh-CN" w:bidi="ar"/>
              </w:rPr>
              <w:t>农村生活垃圾处理情况</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D94C">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及时</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E7216">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及时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13CF">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80EC">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6</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F8A26">
            <w:pPr>
              <w:jc w:val="center"/>
              <w:rPr>
                <w:rFonts w:hint="eastAsia" w:ascii="宋体" w:hAnsi="宋体" w:eastAsia="宋体" w:cs="宋体"/>
                <w:i w:val="0"/>
                <w:iCs w:val="0"/>
                <w:color w:val="000000"/>
                <w:sz w:val="22"/>
                <w:szCs w:val="22"/>
                <w:u w:val="none"/>
              </w:rPr>
            </w:pPr>
          </w:p>
        </w:tc>
      </w:tr>
      <w:tr w14:paraId="44DC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5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77A768">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总             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BF30">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BD3A">
            <w:pPr>
              <w:keepNext w:val="0"/>
              <w:keepLines w:val="0"/>
              <w:widowControl/>
              <w:suppressLineNumbers w:val="0"/>
              <w:jc w:val="center"/>
              <w:textAlignment w:val="center"/>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95</w:t>
            </w:r>
          </w:p>
        </w:tc>
        <w:tc>
          <w:tcPr>
            <w:tcW w:w="3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39685">
            <w:pPr>
              <w:jc w:val="center"/>
              <w:rPr>
                <w:rFonts w:hint="default" w:ascii="宋体" w:hAnsi="宋体" w:eastAsia="宋体" w:cs="宋体"/>
                <w:i w:val="0"/>
                <w:iCs w:val="0"/>
                <w:color w:val="000000"/>
                <w:sz w:val="22"/>
                <w:szCs w:val="22"/>
                <w:u w:val="none"/>
                <w:lang w:val="en-US"/>
              </w:rPr>
            </w:pPr>
          </w:p>
        </w:tc>
      </w:tr>
    </w:tbl>
    <w:p w14:paraId="18D12882"/>
    <w:sectPr>
      <w:footerReference r:id="rId3" w:type="default"/>
      <w:footerReference r:id="rId4" w:type="even"/>
      <w:pgSz w:w="11906" w:h="16838"/>
      <w:pgMar w:top="1474" w:right="1474" w:bottom="1327" w:left="1531"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9378">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5200F5A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4ADD">
    <w:pPr>
      <w:pStyle w:val="2"/>
      <w:framePr w:wrap="around" w:vAnchor="text" w:hAnchor="margin" w:xAlign="center" w:y="1"/>
      <w:rPr>
        <w:rStyle w:val="7"/>
      </w:rPr>
    </w:pPr>
    <w:r>
      <w:fldChar w:fldCharType="begin"/>
    </w:r>
    <w:r>
      <w:rPr>
        <w:rStyle w:val="7"/>
      </w:rPr>
      <w:instrText xml:space="preserve">PAGE  </w:instrText>
    </w:r>
    <w:r>
      <w:fldChar w:fldCharType="end"/>
    </w:r>
  </w:p>
  <w:p w14:paraId="31E39057">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18020"/>
    <w:multiLevelType w:val="singleLevel"/>
    <w:tmpl w:val="B4818020"/>
    <w:lvl w:ilvl="0" w:tentative="0">
      <w:start w:val="4"/>
      <w:numFmt w:val="chineseCounting"/>
      <w:suff w:val="nothing"/>
      <w:lvlText w:val="%1、"/>
      <w:lvlJc w:val="left"/>
      <w:rPr>
        <w:rFonts w:hint="eastAsia"/>
      </w:rPr>
    </w:lvl>
  </w:abstractNum>
  <w:abstractNum w:abstractNumId="1">
    <w:nsid w:val="EB5CE15E"/>
    <w:multiLevelType w:val="singleLevel"/>
    <w:tmpl w:val="EB5CE15E"/>
    <w:lvl w:ilvl="0" w:tentative="0">
      <w:start w:val="8"/>
      <w:numFmt w:val="chineseCounting"/>
      <w:suff w:val="nothing"/>
      <w:lvlText w:val="%1、"/>
      <w:lvlJc w:val="left"/>
      <w:rPr>
        <w:rFonts w:hint="eastAsia"/>
      </w:rPr>
    </w:lvl>
  </w:abstractNum>
  <w:abstractNum w:abstractNumId="2">
    <w:nsid w:val="66A03A2A"/>
    <w:multiLevelType w:val="singleLevel"/>
    <w:tmpl w:val="66A03A2A"/>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zRiYTVlODAzNjc2Y2NkOTcwZTU4ZGQ2YjdhMmYifQ=="/>
  </w:docVars>
  <w:rsids>
    <w:rsidRoot w:val="00172A27"/>
    <w:rsid w:val="0070754E"/>
    <w:rsid w:val="00982FB8"/>
    <w:rsid w:val="00CD627C"/>
    <w:rsid w:val="011A560B"/>
    <w:rsid w:val="0159301C"/>
    <w:rsid w:val="01670890"/>
    <w:rsid w:val="01E16580"/>
    <w:rsid w:val="023B3DA9"/>
    <w:rsid w:val="02AD1871"/>
    <w:rsid w:val="03855D3C"/>
    <w:rsid w:val="04455AD9"/>
    <w:rsid w:val="04F840FD"/>
    <w:rsid w:val="05AC4062"/>
    <w:rsid w:val="05F23A3F"/>
    <w:rsid w:val="06952D48"/>
    <w:rsid w:val="06AA4A75"/>
    <w:rsid w:val="08395955"/>
    <w:rsid w:val="08684C4F"/>
    <w:rsid w:val="08C2594B"/>
    <w:rsid w:val="09A45050"/>
    <w:rsid w:val="09E71B58"/>
    <w:rsid w:val="0A171CC6"/>
    <w:rsid w:val="0A726EFC"/>
    <w:rsid w:val="0B7E024F"/>
    <w:rsid w:val="0BD460C1"/>
    <w:rsid w:val="0C5E598A"/>
    <w:rsid w:val="0DE74E6C"/>
    <w:rsid w:val="0E160280"/>
    <w:rsid w:val="0E8365C6"/>
    <w:rsid w:val="0F022F45"/>
    <w:rsid w:val="0FB87AA7"/>
    <w:rsid w:val="126006AE"/>
    <w:rsid w:val="12A97B92"/>
    <w:rsid w:val="12F42BA4"/>
    <w:rsid w:val="136441CE"/>
    <w:rsid w:val="14585343"/>
    <w:rsid w:val="162B5F44"/>
    <w:rsid w:val="16C27E45"/>
    <w:rsid w:val="17900D92"/>
    <w:rsid w:val="17A0154D"/>
    <w:rsid w:val="18E6635B"/>
    <w:rsid w:val="19083F5D"/>
    <w:rsid w:val="19C84D8B"/>
    <w:rsid w:val="1AFE6CB6"/>
    <w:rsid w:val="1B9D4EA9"/>
    <w:rsid w:val="1CB97B08"/>
    <w:rsid w:val="1D807E56"/>
    <w:rsid w:val="1D835251"/>
    <w:rsid w:val="1D963DA6"/>
    <w:rsid w:val="1E63121F"/>
    <w:rsid w:val="1E7205E2"/>
    <w:rsid w:val="1EA27958"/>
    <w:rsid w:val="1F106FB8"/>
    <w:rsid w:val="1F2D7B6A"/>
    <w:rsid w:val="20C44768"/>
    <w:rsid w:val="21D4463B"/>
    <w:rsid w:val="226E050F"/>
    <w:rsid w:val="228A0E2F"/>
    <w:rsid w:val="22E5535D"/>
    <w:rsid w:val="22E91FFA"/>
    <w:rsid w:val="2393640A"/>
    <w:rsid w:val="240B3373"/>
    <w:rsid w:val="24716AF8"/>
    <w:rsid w:val="248E16B8"/>
    <w:rsid w:val="255F4BB4"/>
    <w:rsid w:val="25804CE8"/>
    <w:rsid w:val="25D35663"/>
    <w:rsid w:val="26211AAB"/>
    <w:rsid w:val="26705B30"/>
    <w:rsid w:val="27313A2A"/>
    <w:rsid w:val="27E21421"/>
    <w:rsid w:val="27E47736"/>
    <w:rsid w:val="28500425"/>
    <w:rsid w:val="29000774"/>
    <w:rsid w:val="2964687E"/>
    <w:rsid w:val="2AB54EB7"/>
    <w:rsid w:val="2AD90BA6"/>
    <w:rsid w:val="2C01198A"/>
    <w:rsid w:val="2C830259"/>
    <w:rsid w:val="2F1819BF"/>
    <w:rsid w:val="2F3445FD"/>
    <w:rsid w:val="2F541DA4"/>
    <w:rsid w:val="314A45AB"/>
    <w:rsid w:val="324B1F12"/>
    <w:rsid w:val="33102D57"/>
    <w:rsid w:val="33281C61"/>
    <w:rsid w:val="335C2374"/>
    <w:rsid w:val="33F24A86"/>
    <w:rsid w:val="349C633F"/>
    <w:rsid w:val="3572263D"/>
    <w:rsid w:val="360B2F38"/>
    <w:rsid w:val="378A2A4B"/>
    <w:rsid w:val="37D4129F"/>
    <w:rsid w:val="38262F51"/>
    <w:rsid w:val="39382F3B"/>
    <w:rsid w:val="3CC33464"/>
    <w:rsid w:val="3E5C0AF7"/>
    <w:rsid w:val="3FEC2CD2"/>
    <w:rsid w:val="41CA0DF1"/>
    <w:rsid w:val="43B458B4"/>
    <w:rsid w:val="4427077C"/>
    <w:rsid w:val="445826E4"/>
    <w:rsid w:val="45480B79"/>
    <w:rsid w:val="45730949"/>
    <w:rsid w:val="46C87FF5"/>
    <w:rsid w:val="47084895"/>
    <w:rsid w:val="47613FA5"/>
    <w:rsid w:val="481132D5"/>
    <w:rsid w:val="48E24C72"/>
    <w:rsid w:val="49313ECE"/>
    <w:rsid w:val="493C6A78"/>
    <w:rsid w:val="498C3945"/>
    <w:rsid w:val="4A897A9B"/>
    <w:rsid w:val="4AEC002A"/>
    <w:rsid w:val="4B221C9D"/>
    <w:rsid w:val="4B7D6ED4"/>
    <w:rsid w:val="4B9A7A86"/>
    <w:rsid w:val="4C147838"/>
    <w:rsid w:val="4D1D271C"/>
    <w:rsid w:val="4D8B34B4"/>
    <w:rsid w:val="4DE60D60"/>
    <w:rsid w:val="4E345F70"/>
    <w:rsid w:val="4E4F2DA9"/>
    <w:rsid w:val="4E7B76FB"/>
    <w:rsid w:val="4F00170E"/>
    <w:rsid w:val="50E25731"/>
    <w:rsid w:val="52B46029"/>
    <w:rsid w:val="53EC2E48"/>
    <w:rsid w:val="544762D1"/>
    <w:rsid w:val="54C92AD6"/>
    <w:rsid w:val="54F00AC2"/>
    <w:rsid w:val="55214E7A"/>
    <w:rsid w:val="55935C72"/>
    <w:rsid w:val="55CC0ABE"/>
    <w:rsid w:val="57BD48EF"/>
    <w:rsid w:val="585A65D3"/>
    <w:rsid w:val="59030A18"/>
    <w:rsid w:val="59A44A9E"/>
    <w:rsid w:val="59CE54CA"/>
    <w:rsid w:val="5A4E03B9"/>
    <w:rsid w:val="5B2F01EA"/>
    <w:rsid w:val="5B6A74B9"/>
    <w:rsid w:val="5BB57FC4"/>
    <w:rsid w:val="5D236733"/>
    <w:rsid w:val="5D292087"/>
    <w:rsid w:val="5E5B2FBB"/>
    <w:rsid w:val="5F177A55"/>
    <w:rsid w:val="610E2650"/>
    <w:rsid w:val="61131A15"/>
    <w:rsid w:val="613253B3"/>
    <w:rsid w:val="62B226F8"/>
    <w:rsid w:val="62E4471E"/>
    <w:rsid w:val="63D7141F"/>
    <w:rsid w:val="64F91E06"/>
    <w:rsid w:val="664412CC"/>
    <w:rsid w:val="666D7E19"/>
    <w:rsid w:val="667414EC"/>
    <w:rsid w:val="67010561"/>
    <w:rsid w:val="67786A75"/>
    <w:rsid w:val="68334ED8"/>
    <w:rsid w:val="68891B98"/>
    <w:rsid w:val="68C55CEA"/>
    <w:rsid w:val="699C6DAB"/>
    <w:rsid w:val="69C42446"/>
    <w:rsid w:val="69FA19C4"/>
    <w:rsid w:val="6A8C4E94"/>
    <w:rsid w:val="6B1C1E0E"/>
    <w:rsid w:val="6B2A62D8"/>
    <w:rsid w:val="6C333F79"/>
    <w:rsid w:val="6C657C58"/>
    <w:rsid w:val="6D800432"/>
    <w:rsid w:val="6D9E6B0A"/>
    <w:rsid w:val="6DDB1B0C"/>
    <w:rsid w:val="6E3D4575"/>
    <w:rsid w:val="6ECB454F"/>
    <w:rsid w:val="6EDA0016"/>
    <w:rsid w:val="6EEB2223"/>
    <w:rsid w:val="6F887A72"/>
    <w:rsid w:val="6F8D5088"/>
    <w:rsid w:val="71332BBF"/>
    <w:rsid w:val="716D6F1F"/>
    <w:rsid w:val="7172228E"/>
    <w:rsid w:val="71E8423A"/>
    <w:rsid w:val="71F80EDE"/>
    <w:rsid w:val="720B208F"/>
    <w:rsid w:val="721E2B58"/>
    <w:rsid w:val="725B76BF"/>
    <w:rsid w:val="733E1066"/>
    <w:rsid w:val="73C3551C"/>
    <w:rsid w:val="73EF00BF"/>
    <w:rsid w:val="74736F42"/>
    <w:rsid w:val="77FA34D6"/>
    <w:rsid w:val="7880578A"/>
    <w:rsid w:val="788F4D40"/>
    <w:rsid w:val="7A6D61E2"/>
    <w:rsid w:val="7A7C01D3"/>
    <w:rsid w:val="7C72188D"/>
    <w:rsid w:val="7E1404D2"/>
    <w:rsid w:val="7E571E85"/>
    <w:rsid w:val="7F0A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able of figures"/>
    <w:basedOn w:val="1"/>
    <w:next w:val="1"/>
    <w:qFormat/>
    <w:uiPriority w:val="0"/>
    <w:pPr>
      <w:ind w:left="200" w:leftChars="200" w:hanging="200" w:hangingChars="200"/>
    </w:pPr>
    <w:rPr>
      <w:rFonts w:ascii="Calibri" w:hAnsi="Calibri" w:eastAsia="宋体" w:cs="Times New Roman"/>
      <w:szCs w:val="22"/>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paragraph" w:styleId="8">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3979</Words>
  <Characters>4297</Characters>
  <Lines>0</Lines>
  <Paragraphs>0</Paragraphs>
  <TotalTime>2</TotalTime>
  <ScaleCrop>false</ScaleCrop>
  <LinksUpToDate>false</LinksUpToDate>
  <CharactersWithSpaces>4352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2024-05-15T02:57:00Z</dcterms:created>
  <dc:creator>Administrator</dc:creator>
  <cp:lastModifiedBy>陈春芳</cp:lastModifiedBy>
  <cp:lastPrinted>2025-04-14T07:02:00Z</cp:lastPrinted>
  <dcterms:modified xsi:type="dcterms:W3CDTF">2025-09-12T01:41:51Z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71708DC114CA469DB48CA7AB921CE9AE_11</vt:lpwstr>
  </property>
  <property fmtid="{D5CDD505-2E9C-101B-9397-08002B2CF9AE}" pid="4" name="KSOTemplateDocerSaveRecord">
    <vt:lpwstr>eyJoZGlkIjoiNDk2YzcxYWNjN2E0OWIyNTAyZjY1NjQ4ZjBmNGU4ZmUiLCJ1c2VySWQiOiI0MjY0Njc5MDIifQ==</vt:lpwstr>
  </property>
</Properties>
</file>