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bookmarkStart w:id="0" w:name="_GoBack"/>
      <w:bookmarkEnd w:id="0"/>
    </w:p>
    <w:p>
      <w:pPr>
        <w:spacing w:line="600" w:lineRule="exact"/>
        <w:rPr>
          <w:rFonts w:eastAsia="黑体"/>
          <w:sz w:val="32"/>
          <w:szCs w:val="32"/>
        </w:rPr>
      </w:pPr>
    </w:p>
    <w:p>
      <w:pPr>
        <w:spacing w:line="600" w:lineRule="exact"/>
        <w:rPr>
          <w:rFonts w:eastAsia="黑体"/>
          <w:sz w:val="32"/>
          <w:szCs w:val="32"/>
        </w:rPr>
      </w:pPr>
    </w:p>
    <w:p>
      <w:pPr>
        <w:jc w:val="center"/>
        <w:rPr>
          <w:rFonts w:ascii="方正小标宋简体" w:eastAsia="方正小标宋简体"/>
          <w:sz w:val="48"/>
          <w:szCs w:val="48"/>
        </w:rPr>
      </w:pPr>
      <w:r>
        <w:rPr>
          <w:rFonts w:hint="eastAsia" w:ascii="方正小标宋简体" w:eastAsia="方正小标宋简体"/>
          <w:sz w:val="48"/>
          <w:szCs w:val="48"/>
        </w:rPr>
        <w:t>2024年度东安县全民健身中心整体支出</w:t>
      </w:r>
    </w:p>
    <w:p>
      <w:pPr>
        <w:jc w:val="center"/>
        <w:rPr>
          <w:rFonts w:ascii="方正小标宋简体" w:eastAsia="方正小标宋简体"/>
          <w:sz w:val="52"/>
          <w:szCs w:val="52"/>
        </w:rPr>
      </w:pPr>
      <w:r>
        <w:rPr>
          <w:rFonts w:hint="eastAsia" w:ascii="方正小标宋简体" w:eastAsia="方正小标宋简体"/>
          <w:sz w:val="48"/>
          <w:szCs w:val="48"/>
        </w:rPr>
        <w:t>绩效自评报告</w:t>
      </w:r>
    </w:p>
    <w:p>
      <w:pPr>
        <w:jc w:val="center"/>
        <w:rPr>
          <w:rFonts w:eastAsia="方正小标宋_GBK"/>
          <w:b/>
          <w:sz w:val="52"/>
          <w:szCs w:val="5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spacing w:line="600" w:lineRule="exact"/>
        <w:jc w:val="center"/>
        <w:rPr>
          <w:rFonts w:eastAsia="仿宋_GB2312"/>
          <w:sz w:val="28"/>
          <w:szCs w:val="28"/>
          <w:u w:val="single"/>
        </w:rPr>
      </w:pPr>
      <w:r>
        <w:rPr>
          <w:rFonts w:eastAsia="仿宋_GB2312"/>
          <w:sz w:val="28"/>
          <w:szCs w:val="28"/>
        </w:rPr>
        <w:t>单位名称：</w:t>
      </w:r>
      <w:r>
        <w:rPr>
          <w:rFonts w:hint="eastAsia" w:ascii="华文中宋" w:hAnsi="华文中宋" w:eastAsia="华文中宋" w:cs="黑体"/>
          <w:color w:val="000000"/>
          <w:sz w:val="28"/>
          <w:szCs w:val="28"/>
          <w:u w:val="single"/>
        </w:rPr>
        <w:t>东安县全民健身中心</w:t>
      </w:r>
      <w:r>
        <w:rPr>
          <w:rFonts w:eastAsia="仿宋_GB2312"/>
          <w:sz w:val="28"/>
          <w:szCs w:val="28"/>
          <w:u w:val="single"/>
        </w:rPr>
        <w:t>（盖章）</w:t>
      </w:r>
    </w:p>
    <w:p>
      <w:pPr>
        <w:spacing w:line="600" w:lineRule="exact"/>
        <w:ind w:firstLine="3200" w:firstLineChars="1000"/>
        <w:rPr>
          <w:rFonts w:eastAsia="楷体_GB2312"/>
          <w:sz w:val="32"/>
          <w:szCs w:val="32"/>
        </w:rPr>
      </w:pPr>
      <w:r>
        <w:rPr>
          <w:rFonts w:hint="eastAsia" w:eastAsia="楷体_GB2312"/>
          <w:sz w:val="32"/>
          <w:szCs w:val="32"/>
        </w:rPr>
        <w:t>2025</w:t>
      </w:r>
      <w:r>
        <w:rPr>
          <w:rFonts w:eastAsia="楷体_GB2312"/>
          <w:sz w:val="32"/>
          <w:szCs w:val="32"/>
        </w:rPr>
        <w:t>年</w:t>
      </w:r>
      <w:r>
        <w:rPr>
          <w:rFonts w:hint="eastAsia" w:eastAsia="楷体_GB2312"/>
          <w:sz w:val="32"/>
          <w:szCs w:val="32"/>
        </w:rPr>
        <w:t>4</w:t>
      </w:r>
      <w:r>
        <w:rPr>
          <w:rFonts w:eastAsia="楷体_GB2312"/>
          <w:sz w:val="32"/>
          <w:szCs w:val="32"/>
        </w:rPr>
        <w:t xml:space="preserve">月 </w:t>
      </w:r>
      <w:r>
        <w:rPr>
          <w:rFonts w:hint="eastAsia" w:eastAsia="楷体_GB2312"/>
          <w:sz w:val="32"/>
          <w:szCs w:val="32"/>
        </w:rPr>
        <w:t>22</w:t>
      </w:r>
      <w:r>
        <w:rPr>
          <w:rFonts w:eastAsia="楷体_GB2312"/>
          <w:sz w:val="32"/>
          <w:szCs w:val="32"/>
        </w:rPr>
        <w:t>日</w:t>
      </w:r>
    </w:p>
    <w:p>
      <w:pPr>
        <w:jc w:val="center"/>
        <w:rPr>
          <w:rFonts w:eastAsia="黑体"/>
          <w:sz w:val="32"/>
          <w:szCs w:val="32"/>
        </w:rPr>
      </w:pPr>
    </w:p>
    <w:p>
      <w:pPr>
        <w:spacing w:line="460" w:lineRule="exact"/>
        <w:ind w:firstLine="640" w:firstLineChars="200"/>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pPr>
        <w:shd w:val="clear" w:color="auto" w:fill="FFFFFF"/>
        <w:spacing w:line="460" w:lineRule="exact"/>
        <w:ind w:firstLine="640" w:firstLineChars="200"/>
        <w:rPr>
          <w:rFonts w:ascii="仿宋_GB2312" w:eastAsia="仿宋_GB2312"/>
          <w:sz w:val="32"/>
          <w:szCs w:val="32"/>
        </w:rPr>
      </w:pPr>
      <w:r>
        <w:rPr>
          <w:rFonts w:hint="eastAsia" w:ascii="仿宋_GB2312" w:eastAsia="仿宋_GB2312"/>
          <w:sz w:val="32"/>
          <w:szCs w:val="32"/>
        </w:rPr>
        <w:t>（一）部门（单位）职能职责、机构编制、人员构成等。</w:t>
      </w:r>
    </w:p>
    <w:p>
      <w:pPr>
        <w:adjustRightInd w:val="0"/>
        <w:snapToGrid w:val="0"/>
        <w:spacing w:line="60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部门</w:t>
      </w:r>
      <w:r>
        <w:rPr>
          <w:rFonts w:eastAsia="仿宋_GB2312"/>
          <w:sz w:val="32"/>
          <w:szCs w:val="32"/>
        </w:rPr>
        <w:t>基本情况</w:t>
      </w:r>
    </w:p>
    <w:p>
      <w:pPr>
        <w:spacing w:line="560" w:lineRule="exact"/>
        <w:rPr>
          <w:rFonts w:ascii="仿宋" w:hAnsi="仿宋" w:eastAsia="仿宋"/>
          <w:sz w:val="32"/>
          <w:szCs w:val="32"/>
        </w:rPr>
      </w:pPr>
      <w:r>
        <w:rPr>
          <w:rFonts w:hint="eastAsia" w:ascii="仿宋" w:hAnsi="仿宋" w:eastAsia="仿宋"/>
          <w:sz w:val="32"/>
          <w:szCs w:val="32"/>
        </w:rPr>
        <w:t>东安县全民健身服务中心为东安县文化旅游广电体育局所属的副科级公益一类事业单位。县全民健身服务中心设3个内设机构：办公室、健身指导和场馆管理股、体育彩票管理股。县全民健身服务中心核定全额拨款事业编制7名。其中：主任1名（副科级）、教练员（股室负责人）4名。</w:t>
      </w:r>
    </w:p>
    <w:p>
      <w:pPr>
        <w:spacing w:line="560" w:lineRule="exact"/>
        <w:ind w:firstLine="640" w:firstLineChars="200"/>
        <w:rPr>
          <w:rFonts w:eastAsia="仿宋_GB2312"/>
          <w:sz w:val="32"/>
          <w:szCs w:val="32"/>
        </w:rPr>
      </w:pPr>
      <w:r>
        <w:rPr>
          <w:rFonts w:hint="eastAsia" w:ascii="仿宋" w:hAnsi="仿宋" w:eastAsia="仿宋"/>
          <w:sz w:val="32"/>
          <w:szCs w:val="32"/>
        </w:rPr>
        <w:t>根据《中共东安县委东安县人民政府关于印发&lt;东安县人民政府职能转变和机构改革方案的实施意见&gt;的通知》（东发[2015]8号），东安县全民健身服务中心主要职责：（一）宣传、推广全民健身政策法规和科普知识。（二）组织开展全民健身活动，加强对全民健身活动的指导和服务。（三）管理、维护、开发利用所管理的体育场馆及健身场地设施，负责院内公共区域的园林绿化管理，卫生保洁、安全保卫，确保体育场馆正常运营。（四）组织开展健身运动项目的培训。（五）承担县老年人体育协会的日常管理工作。（六）负责体育彩票发行的日常事务性工作。（七）承办县文体广电新闻出版局&lt;注：2019年为县文化旅游广电体育局&gt;交办的其他事项。</w:t>
      </w:r>
    </w:p>
    <w:p>
      <w:pPr>
        <w:pStyle w:val="7"/>
        <w:spacing w:line="4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7"/>
        <w:spacing w:line="460" w:lineRule="exact"/>
        <w:ind w:firstLine="640"/>
        <w:rPr>
          <w:rFonts w:ascii="Times New Roman" w:hAnsi="Times New Roman" w:eastAsia="仿宋_GB2312"/>
          <w:sz w:val="32"/>
          <w:szCs w:val="32"/>
        </w:rPr>
      </w:pPr>
      <w:r>
        <w:rPr>
          <w:rFonts w:ascii="Times New Roman" w:hAnsi="Times New Roman" w:eastAsia="仿宋_GB2312"/>
          <w:sz w:val="32"/>
          <w:szCs w:val="32"/>
        </w:rPr>
        <w:t>（一）基本支出情况</w:t>
      </w:r>
    </w:p>
    <w:p>
      <w:pPr>
        <w:spacing w:line="560" w:lineRule="exact"/>
        <w:ind w:firstLine="640"/>
        <w:rPr>
          <w:rFonts w:ascii="仿宋" w:hAnsi="仿宋" w:eastAsia="仿宋"/>
          <w:color w:val="222222"/>
          <w:kern w:val="0"/>
          <w:sz w:val="32"/>
          <w:szCs w:val="32"/>
        </w:rPr>
      </w:pPr>
      <w:r>
        <w:rPr>
          <w:rFonts w:hint="eastAsia" w:ascii="仿宋" w:hAnsi="仿宋" w:eastAsia="仿宋" w:cs="仿宋"/>
          <w:color w:val="222222"/>
          <w:kern w:val="0"/>
          <w:sz w:val="32"/>
          <w:szCs w:val="32"/>
        </w:rPr>
        <w:t>基本支出的范围和主要用途包括人员经费和日常公用经费。</w:t>
      </w:r>
    </w:p>
    <w:p>
      <w:pPr>
        <w:spacing w:line="560" w:lineRule="exact"/>
        <w:ind w:firstLine="640"/>
        <w:rPr>
          <w:rFonts w:ascii="仿宋" w:hAnsi="仿宋" w:eastAsia="仿宋"/>
          <w:color w:val="555555"/>
          <w:kern w:val="0"/>
          <w:sz w:val="32"/>
          <w:szCs w:val="32"/>
        </w:rPr>
      </w:pPr>
      <w:r>
        <w:rPr>
          <w:rFonts w:hint="eastAsia" w:ascii="仿宋" w:hAnsi="仿宋" w:eastAsia="仿宋" w:cs="仿宋"/>
          <w:color w:val="222222"/>
          <w:kern w:val="0"/>
          <w:sz w:val="32"/>
          <w:szCs w:val="32"/>
        </w:rPr>
        <w:t>基本支出的管理和使用情况如下：人员经费支出53.2 万元，日常公用经费支出364.77万元，主要用于会议费、差旅费、办公费、公务接待费等及其他日常办公的正常开支。</w:t>
      </w:r>
    </w:p>
    <w:p>
      <w:pPr>
        <w:widowControl/>
        <w:shd w:val="clear" w:color="auto" w:fill="FFFFFF"/>
        <w:autoSpaceDE w:val="0"/>
        <w:spacing w:line="560" w:lineRule="exact"/>
        <w:ind w:firstLine="643" w:firstLineChars="200"/>
        <w:jc w:val="left"/>
        <w:rPr>
          <w:rFonts w:ascii="仿宋" w:hAnsi="仿宋" w:eastAsia="仿宋"/>
          <w:b/>
          <w:bCs/>
          <w:color w:val="666666"/>
          <w:kern w:val="0"/>
          <w:sz w:val="32"/>
          <w:szCs w:val="32"/>
        </w:rPr>
      </w:pPr>
      <w:r>
        <w:rPr>
          <w:rFonts w:hint="eastAsia" w:ascii="仿宋" w:hAnsi="仿宋" w:eastAsia="仿宋" w:cs="仿宋"/>
          <w:b/>
          <w:bCs/>
          <w:color w:val="222222"/>
          <w:kern w:val="0"/>
          <w:sz w:val="32"/>
          <w:szCs w:val="32"/>
        </w:rPr>
        <w:t>（二）“三公”经费使用管理执行情况</w:t>
      </w:r>
    </w:p>
    <w:p>
      <w:pPr>
        <w:spacing w:line="560" w:lineRule="exact"/>
        <w:ind w:firstLine="640" w:firstLineChars="200"/>
        <w:rPr>
          <w:rFonts w:ascii="仿宋" w:hAnsi="仿宋" w:eastAsia="仿宋"/>
          <w:sz w:val="32"/>
          <w:szCs w:val="32"/>
        </w:rPr>
      </w:pPr>
      <w:r>
        <w:rPr>
          <w:rFonts w:ascii="仿宋" w:hAnsi="仿宋" w:eastAsia="仿宋" w:cs="仿宋"/>
          <w:sz w:val="32"/>
          <w:szCs w:val="32"/>
        </w:rPr>
        <w:t>2024</w:t>
      </w:r>
      <w:r>
        <w:rPr>
          <w:rFonts w:hint="eastAsia" w:ascii="仿宋" w:hAnsi="仿宋" w:eastAsia="仿宋" w:cs="仿宋"/>
          <w:sz w:val="32"/>
          <w:szCs w:val="32"/>
        </w:rPr>
        <w:t>年“三公经费”财政拨款支出共2万元，因公车改革，本年度无公务用车运行费。具体如下：</w:t>
      </w:r>
    </w:p>
    <w:p>
      <w:pPr>
        <w:spacing w:line="560" w:lineRule="exact"/>
        <w:ind w:left="479" w:leftChars="228" w:firstLine="160" w:firstLineChars="50"/>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、公务接待费支出2万元，主要用于其他市、县（区）政协系统到东安交流工作及调研、政协委员到政协汇报联络工作、招商引资等支出。</w:t>
      </w:r>
    </w:p>
    <w:p>
      <w:pPr>
        <w:spacing w:line="560" w:lineRule="exact"/>
        <w:ind w:firstLine="640" w:firstLineChars="200"/>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、公务用车购置费无支出；公务用车运行维护费支出</w:t>
      </w:r>
      <w:r>
        <w:rPr>
          <w:rFonts w:ascii="仿宋" w:hAnsi="仿宋" w:eastAsia="仿宋" w:cs="仿宋"/>
          <w:sz w:val="32"/>
          <w:szCs w:val="32"/>
        </w:rPr>
        <w:t>0</w:t>
      </w:r>
      <w:r>
        <w:rPr>
          <w:rFonts w:hint="eastAsia" w:ascii="仿宋" w:hAnsi="仿宋" w:eastAsia="仿宋" w:cs="仿宋"/>
          <w:sz w:val="32"/>
          <w:szCs w:val="32"/>
        </w:rPr>
        <w:t>万元。</w:t>
      </w:r>
    </w:p>
    <w:p>
      <w:pPr>
        <w:pStyle w:val="7"/>
        <w:spacing w:line="460" w:lineRule="exact"/>
        <w:ind w:firstLine="640"/>
        <w:rPr>
          <w:rFonts w:ascii="Times New Roman" w:hAnsi="Times New Roman" w:eastAsia="仿宋_GB2312"/>
          <w:sz w:val="32"/>
          <w:szCs w:val="32"/>
        </w:rPr>
      </w:pPr>
      <w:r>
        <w:rPr>
          <w:rFonts w:ascii="仿宋" w:hAnsi="仿宋" w:eastAsia="仿宋" w:cs="仿宋"/>
          <w:sz w:val="32"/>
          <w:szCs w:val="32"/>
        </w:rPr>
        <w:t>3</w:t>
      </w:r>
      <w:r>
        <w:rPr>
          <w:rFonts w:hint="eastAsia" w:ascii="仿宋" w:hAnsi="仿宋" w:eastAsia="仿宋" w:cs="仿宋"/>
          <w:sz w:val="32"/>
          <w:szCs w:val="32"/>
        </w:rPr>
        <w:t>、因公出国（境）费无支出。</w:t>
      </w:r>
    </w:p>
    <w:p>
      <w:pPr>
        <w:pStyle w:val="7"/>
        <w:spacing w:line="460" w:lineRule="exact"/>
        <w:ind w:firstLine="640"/>
        <w:rPr>
          <w:rFonts w:ascii="Times New Roman" w:hAnsi="Times New Roman" w:eastAsia="仿宋_GB2312"/>
          <w:sz w:val="32"/>
          <w:szCs w:val="32"/>
        </w:rPr>
      </w:pPr>
      <w:r>
        <w:rPr>
          <w:rFonts w:ascii="Times New Roman" w:hAnsi="Times New Roman" w:eastAsia="仿宋_GB2312"/>
          <w:sz w:val="32"/>
          <w:szCs w:val="32"/>
        </w:rPr>
        <w:t>（二）项目支出情况</w:t>
      </w:r>
    </w:p>
    <w:p>
      <w:pPr>
        <w:pStyle w:val="4"/>
        <w:shd w:val="clear" w:color="auto" w:fill="FFFFFF"/>
        <w:spacing w:before="0" w:beforeAutospacing="0" w:after="0" w:afterAutospacing="0" w:line="500" w:lineRule="exact"/>
        <w:ind w:firstLine="713" w:firstLineChars="223"/>
        <w:rPr>
          <w:rFonts w:ascii="仿宋_GB2312" w:hAnsi="微软雅黑" w:eastAsia="仿宋_GB2312"/>
          <w:color w:val="333333"/>
          <w:sz w:val="32"/>
          <w:szCs w:val="32"/>
        </w:rPr>
      </w:pPr>
      <w:r>
        <w:rPr>
          <w:rFonts w:hint="eastAsia" w:ascii="仿宋_GB2312" w:hAnsi="仿宋" w:eastAsia="仿宋_GB2312" w:cs="仿宋_GB2312"/>
          <w:color w:val="000000"/>
          <w:sz w:val="32"/>
          <w:szCs w:val="32"/>
        </w:rPr>
        <w:t>2024年预算项目资金总计45万元，分别为：1、全民健身运行经费8万元；2、全民健身日活动经费16万元；3、老年体协5万元；4、武术强县经费16万元。</w:t>
      </w:r>
    </w:p>
    <w:p>
      <w:pPr>
        <w:pStyle w:val="7"/>
        <w:spacing w:line="460" w:lineRule="exact"/>
        <w:ind w:firstLine="640"/>
        <w:rPr>
          <w:rFonts w:ascii="Times New Roman" w:hAnsi="Times New Roman" w:eastAsia="仿宋_GB2312"/>
          <w:sz w:val="32"/>
          <w:szCs w:val="32"/>
        </w:rPr>
      </w:pPr>
    </w:p>
    <w:p>
      <w:pPr>
        <w:pStyle w:val="7"/>
        <w:spacing w:line="46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w:t>
      </w:r>
    </w:p>
    <w:p>
      <w:pPr>
        <w:pStyle w:val="7"/>
        <w:spacing w:line="4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我单位无政府性基金预算支出情况</w:t>
      </w:r>
    </w:p>
    <w:p>
      <w:pPr>
        <w:pStyle w:val="7"/>
        <w:numPr>
          <w:ilvl w:val="0"/>
          <w:numId w:val="1"/>
        </w:numPr>
        <w:spacing w:line="46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pPr>
        <w:pStyle w:val="7"/>
        <w:spacing w:line="4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我单位无国有资本经营预算支出情况</w:t>
      </w:r>
    </w:p>
    <w:p>
      <w:pPr>
        <w:pStyle w:val="7"/>
        <w:numPr>
          <w:ilvl w:val="0"/>
          <w:numId w:val="1"/>
        </w:numPr>
        <w:spacing w:line="46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pPr>
        <w:pStyle w:val="7"/>
        <w:spacing w:line="460" w:lineRule="exact"/>
        <w:ind w:left="420" w:leftChars="200" w:firstLine="320" w:firstLineChars="100"/>
        <w:rPr>
          <w:rFonts w:ascii="Times New Roman" w:hAnsi="Times New Roman" w:eastAsia="黑体"/>
          <w:sz w:val="32"/>
          <w:szCs w:val="32"/>
        </w:rPr>
      </w:pPr>
      <w:r>
        <w:rPr>
          <w:rFonts w:hint="eastAsia" w:ascii="Times New Roman" w:hAnsi="Times New Roman" w:eastAsia="仿宋_GB2312"/>
          <w:color w:val="000000"/>
          <w:sz w:val="32"/>
          <w:szCs w:val="32"/>
        </w:rPr>
        <w:t>我单位无社会保险基金预算支出情况</w:t>
      </w:r>
    </w:p>
    <w:p>
      <w:pPr>
        <w:spacing w:line="460" w:lineRule="exact"/>
        <w:ind w:firstLine="640" w:firstLineChars="200"/>
        <w:rPr>
          <w:rFonts w:eastAsia="黑体"/>
          <w:sz w:val="32"/>
          <w:szCs w:val="32"/>
        </w:rPr>
      </w:pPr>
      <w:r>
        <w:rPr>
          <w:rFonts w:eastAsia="黑体"/>
          <w:sz w:val="32"/>
          <w:szCs w:val="32"/>
        </w:rPr>
        <w:t>六、部门整体支出绩效情况</w:t>
      </w:r>
    </w:p>
    <w:p>
      <w:pPr>
        <w:widowControl/>
        <w:spacing w:line="560" w:lineRule="exact"/>
        <w:ind w:firstLine="640"/>
        <w:jc w:val="left"/>
        <w:rPr>
          <w:rFonts w:ascii="仿宋" w:hAnsi="仿宋" w:eastAsia="仿宋"/>
          <w:color w:val="000000"/>
          <w:kern w:val="0"/>
          <w:sz w:val="32"/>
          <w:szCs w:val="32"/>
        </w:rPr>
      </w:pPr>
      <w:r>
        <w:rPr>
          <w:rFonts w:hint="eastAsia" w:ascii="仿宋" w:hAnsi="仿宋" w:eastAsia="仿宋" w:cs="仿宋"/>
          <w:color w:val="000000"/>
          <w:kern w:val="0"/>
          <w:sz w:val="32"/>
          <w:szCs w:val="32"/>
        </w:rPr>
        <w:t>我们严格预算管理，切实按照县委出台的五项管理制度要求，坚持执行财经和财务制度，修改完善了机关财务管理规定、公务接待管理规定等工作制度，进一步明确了财政预算资金审批手续和拨付程序、机关行政经费审批手续和报销程序，加强了财务管理，规范了收支行为，保证了财务管理工作规范有序进行。</w:t>
      </w:r>
      <w:r>
        <w:rPr>
          <w:rFonts w:ascii="仿宋" w:hAnsi="仿宋" w:eastAsia="仿宋" w:cs="仿宋"/>
          <w:color w:val="000000"/>
          <w:kern w:val="0"/>
          <w:sz w:val="32"/>
          <w:szCs w:val="32"/>
        </w:rPr>
        <w:t>2024</w:t>
      </w:r>
      <w:r>
        <w:rPr>
          <w:rFonts w:hint="eastAsia" w:ascii="仿宋" w:hAnsi="仿宋" w:eastAsia="仿宋" w:cs="仿宋"/>
          <w:color w:val="000000"/>
          <w:kern w:val="0"/>
          <w:sz w:val="32"/>
          <w:szCs w:val="32"/>
        </w:rPr>
        <w:t>年我单位没有基本建设等支出项目。</w:t>
      </w:r>
    </w:p>
    <w:p>
      <w:pPr>
        <w:spacing w:line="560" w:lineRule="exact"/>
        <w:ind w:firstLine="640"/>
        <w:rPr>
          <w:rFonts w:eastAsia="仿宋_GB2312"/>
          <w:color w:val="000000"/>
          <w:sz w:val="32"/>
          <w:szCs w:val="32"/>
        </w:rPr>
      </w:pPr>
      <w:r>
        <w:rPr>
          <w:rFonts w:hint="eastAsia" w:ascii="仿宋" w:hAnsi="仿宋" w:eastAsia="仿宋" w:cs="仿宋"/>
          <w:color w:val="222222"/>
          <w:kern w:val="0"/>
          <w:sz w:val="32"/>
          <w:szCs w:val="32"/>
        </w:rPr>
        <w:t>我们按照绩效评价规程要求，第一阶段为前期准备：制定了详细的工作方案，明确责任，确定评价指标细则；第二阶段为自评：根据上一阶段任务布置，按照要求展开自评工作，并初拟评价结果；第三阶段为定性终评，查阅相关文件资料和财务凭证，对收集资料进行定量定性分析，综合评议后形成评价结论，出具绩效评价报告。</w:t>
      </w:r>
    </w:p>
    <w:p>
      <w:pPr>
        <w:pStyle w:val="7"/>
        <w:spacing w:line="46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widowControl/>
        <w:shd w:val="clear" w:color="auto" w:fill="FFFFFF"/>
        <w:autoSpaceDE w:val="0"/>
        <w:spacing w:line="500" w:lineRule="exact"/>
        <w:ind w:firstLine="640"/>
        <w:jc w:val="left"/>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1、绩效目标设立不够明确、细化和量化。项目实施的协调机制有待完善。</w:t>
      </w:r>
    </w:p>
    <w:p>
      <w:pPr>
        <w:widowControl/>
        <w:shd w:val="clear" w:color="auto" w:fill="FFFFFF"/>
        <w:autoSpaceDE w:val="0"/>
        <w:spacing w:line="500" w:lineRule="exact"/>
        <w:ind w:firstLine="640"/>
        <w:jc w:val="left"/>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2、预算编制的精准性、合理性有待提高，预算执行中存在偏差。</w:t>
      </w:r>
    </w:p>
    <w:p>
      <w:pPr>
        <w:widowControl/>
        <w:shd w:val="clear" w:color="auto" w:fill="FFFFFF"/>
        <w:autoSpaceDE w:val="0"/>
        <w:spacing w:line="500" w:lineRule="exact"/>
        <w:ind w:firstLine="640"/>
        <w:jc w:val="left"/>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3、资金使用效益有待进一步提高。</w:t>
      </w:r>
    </w:p>
    <w:p>
      <w:pPr>
        <w:spacing w:line="460" w:lineRule="exact"/>
        <w:ind w:firstLine="640" w:firstLineChars="200"/>
        <w:rPr>
          <w:rFonts w:eastAsia="黑体"/>
          <w:sz w:val="32"/>
          <w:szCs w:val="32"/>
        </w:rPr>
      </w:pPr>
      <w:r>
        <w:rPr>
          <w:rFonts w:eastAsia="黑体"/>
          <w:sz w:val="32"/>
          <w:szCs w:val="32"/>
        </w:rPr>
        <w:t>八、下一步改进措施</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（一）科学合理编制预算，严格执行预算</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加强预算编制的前瞻性，按照《预算法》及其实施条例的相关规定。按政策规定几本部门的发展规划，结合上一年度预算执行情况和本年度预算收支变化因素，科学、合理地编制本年度预算草案，避免项目市场与基本支持划分不准确或预算支出与实际执行出现较大偏差的情况，执行中确需调剂预算的，按照程序报经批准。</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二）规范账务处理，提高财务信息质量严格按照《会计法》、《事业单位会计制度》、《事业单位财务规则》等规定执行财务核算，并结合实际情况，完整、准确地披露相关信息，尽可能地做到决算与预算相衔接。</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（三）完善管理制度，进一步加强资产管理</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进一步</w:t>
      </w:r>
      <w:r>
        <w:rPr>
          <w:rFonts w:hint="eastAsia" w:eastAsia="仿宋_GB2312"/>
          <w:sz w:val="32"/>
          <w:szCs w:val="32"/>
          <w:lang w:eastAsia="zh-CN"/>
        </w:rPr>
        <w:t>贯彻落实中央八项规定</w:t>
      </w:r>
      <w:r>
        <w:rPr>
          <w:rFonts w:hint="eastAsia" w:eastAsia="仿宋_GB2312"/>
          <w:sz w:val="32"/>
          <w:szCs w:val="32"/>
        </w:rPr>
        <w:t>和湖南省委“九条规定”，不断完善“三公经费”等公务支出管理制度及厉行节约制度，加强经费审批和控制，规范支出标准与范围，并严格执行。严格按照《固定资产管理办法》的规定加强固定资产管理，及时对各类实物资产进行全面盘点，确保账账、账实相符。</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（四）加强新行政单位会计制度和新预算法学习培训</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加强新《预算法》、《事业单位会计制度》等学习培训，规范部门预算收支核算，一是制定和完善基本支出、项目支出等各项支出标准，严格按项目和进度执行预算，增强预算的约束力和严肃性。</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二是落实预算执行分析，及时了解预算执行差异，合理调整、纠正预算执行偏差，切实提高部门预算收支管理水平。</w:t>
      </w:r>
    </w:p>
    <w:p>
      <w:pPr>
        <w:spacing w:line="460" w:lineRule="exact"/>
        <w:ind w:firstLine="640" w:firstLineChars="200"/>
        <w:rPr>
          <w:rFonts w:eastAsia="黑体"/>
          <w:sz w:val="32"/>
          <w:szCs w:val="32"/>
        </w:rPr>
      </w:pPr>
      <w:r>
        <w:rPr>
          <w:rFonts w:hint="eastAsia" w:eastAsia="黑体"/>
          <w:sz w:val="32"/>
          <w:szCs w:val="32"/>
        </w:rPr>
        <w:t>九、</w:t>
      </w:r>
      <w:r>
        <w:rPr>
          <w:rFonts w:eastAsia="黑体"/>
          <w:sz w:val="32"/>
          <w:szCs w:val="32"/>
        </w:rPr>
        <w:t>其他需要说明的情况</w:t>
      </w:r>
    </w:p>
    <w:p>
      <w:pPr>
        <w:spacing w:line="460" w:lineRule="exact"/>
        <w:ind w:firstLine="640" w:firstLineChars="200"/>
        <w:rPr>
          <w:rFonts w:ascii="仿宋" w:hAnsi="仿宋" w:eastAsia="仿宋" w:cs="仿宋"/>
          <w:color w:val="222222"/>
          <w:kern w:val="0"/>
          <w:sz w:val="32"/>
          <w:szCs w:val="32"/>
        </w:rPr>
      </w:pPr>
      <w:r>
        <w:rPr>
          <w:rFonts w:hint="eastAsia" w:ascii="仿宋" w:hAnsi="仿宋" w:eastAsia="仿宋" w:cs="仿宋"/>
          <w:color w:val="222222"/>
          <w:kern w:val="0"/>
          <w:sz w:val="32"/>
          <w:szCs w:val="32"/>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3FA97"/>
    <w:multiLevelType w:val="singleLevel"/>
    <w:tmpl w:val="FC23FA9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261C3"/>
    <w:rsid w:val="000501D5"/>
    <w:rsid w:val="009A7FB8"/>
    <w:rsid w:val="00F35590"/>
    <w:rsid w:val="1312694B"/>
    <w:rsid w:val="28414B2C"/>
    <w:rsid w:val="2A8D53CF"/>
    <w:rsid w:val="31916287"/>
    <w:rsid w:val="325C655C"/>
    <w:rsid w:val="35CD4B62"/>
    <w:rsid w:val="35F01446"/>
    <w:rsid w:val="3DAA1AB4"/>
    <w:rsid w:val="44386E56"/>
    <w:rsid w:val="4AC261C3"/>
    <w:rsid w:val="645E5879"/>
    <w:rsid w:val="654D3F23"/>
    <w:rsid w:val="74CF6F54"/>
    <w:rsid w:val="7AE22A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kern w:val="0"/>
      <w:sz w:val="24"/>
    </w:rPr>
  </w:style>
  <w:style w:type="paragraph" w:styleId="7">
    <w:name w:val="List Paragraph"/>
    <w:basedOn w:val="1"/>
    <w:qFormat/>
    <w:uiPriority w:val="99"/>
    <w:pPr>
      <w:ind w:firstLine="420" w:firstLineChars="200"/>
    </w:pPr>
    <w:rPr>
      <w:rFonts w:ascii="Calibri" w:hAnsi="Calibri"/>
      <w:kern w:val="0"/>
      <w:sz w:val="28"/>
      <w:szCs w:val="22"/>
    </w:rPr>
  </w:style>
  <w:style w:type="character" w:customStyle="1" w:styleId="8">
    <w:name w:val="页眉 Char"/>
    <w:basedOn w:val="5"/>
    <w:link w:val="3"/>
    <w:uiPriority w:val="0"/>
    <w:rPr>
      <w:kern w:val="2"/>
      <w:sz w:val="18"/>
      <w:szCs w:val="18"/>
    </w:rPr>
  </w:style>
  <w:style w:type="character" w:customStyle="1" w:styleId="9">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304</Words>
  <Characters>1737</Characters>
  <Lines>14</Lines>
  <Paragraphs>4</Paragraphs>
  <TotalTime>5</TotalTime>
  <ScaleCrop>false</ScaleCrop>
  <LinksUpToDate>false</LinksUpToDate>
  <CharactersWithSpaces>2037</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2024-05-27T15:10:00Z</dcterms:created>
  <dc:creator>Administrator</dc:creator>
  <cp:lastModifiedBy>ldp</cp:lastModifiedBy>
  <dcterms:modified xsi:type="dcterms:W3CDTF">2026-01-16T03:24:46Z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