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EA014">
      <w:pPr>
        <w:spacing w:line="560" w:lineRule="exact"/>
        <w:jc w:val="center"/>
        <w:rPr>
          <w:rFonts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年旅游发展服务中心整体支出</w:t>
      </w:r>
    </w:p>
    <w:p w14:paraId="08F91917">
      <w:pPr>
        <w:spacing w:line="560" w:lineRule="exact"/>
        <w:jc w:val="center"/>
        <w:rPr>
          <w:rFonts w:ascii="方正小标宋简体" w:eastAsia="方正小标宋简体"/>
          <w:sz w:val="52"/>
          <w:szCs w:val="52"/>
        </w:rPr>
      </w:pPr>
      <w:r>
        <w:rPr>
          <w:rFonts w:hint="eastAsia" w:ascii="方正小标宋简体" w:eastAsia="方正小标宋简体"/>
          <w:sz w:val="52"/>
          <w:szCs w:val="52"/>
        </w:rPr>
        <w:t>绩效自评报告</w:t>
      </w:r>
    </w:p>
    <w:p w14:paraId="1DB09977">
      <w:pPr>
        <w:spacing w:line="560" w:lineRule="exact"/>
        <w:jc w:val="center"/>
        <w:rPr>
          <w:rFonts w:eastAsia="方正小标宋_GBK"/>
          <w:b/>
          <w:sz w:val="52"/>
          <w:szCs w:val="52"/>
        </w:rPr>
      </w:pPr>
    </w:p>
    <w:p w14:paraId="3D39C8CF">
      <w:pPr>
        <w:spacing w:line="560" w:lineRule="exact"/>
        <w:jc w:val="center"/>
        <w:rPr>
          <w:rFonts w:eastAsia="楷体_GB2312"/>
          <w:b/>
          <w:sz w:val="32"/>
          <w:szCs w:val="32"/>
        </w:rPr>
      </w:pPr>
    </w:p>
    <w:p w14:paraId="66EF9195">
      <w:pPr>
        <w:spacing w:line="560" w:lineRule="exact"/>
        <w:jc w:val="center"/>
        <w:rPr>
          <w:rFonts w:eastAsia="楷体_GB2312"/>
          <w:b/>
          <w:sz w:val="32"/>
          <w:szCs w:val="32"/>
        </w:rPr>
      </w:pPr>
    </w:p>
    <w:p w14:paraId="33898F7F">
      <w:pPr>
        <w:spacing w:line="560" w:lineRule="exact"/>
        <w:jc w:val="center"/>
        <w:rPr>
          <w:rFonts w:eastAsia="楷体_GB2312"/>
          <w:b/>
          <w:sz w:val="32"/>
          <w:szCs w:val="32"/>
        </w:rPr>
      </w:pPr>
    </w:p>
    <w:p w14:paraId="00D665F9">
      <w:pPr>
        <w:spacing w:line="560" w:lineRule="exact"/>
        <w:jc w:val="center"/>
        <w:rPr>
          <w:rFonts w:eastAsia="楷体_GB2312"/>
          <w:b/>
          <w:sz w:val="32"/>
          <w:szCs w:val="32"/>
        </w:rPr>
      </w:pPr>
    </w:p>
    <w:p w14:paraId="357116BF">
      <w:pPr>
        <w:spacing w:line="560" w:lineRule="exact"/>
        <w:jc w:val="center"/>
        <w:rPr>
          <w:rFonts w:eastAsia="楷体_GB2312"/>
          <w:b/>
          <w:sz w:val="32"/>
          <w:szCs w:val="32"/>
        </w:rPr>
      </w:pPr>
    </w:p>
    <w:p w14:paraId="71566E17">
      <w:pPr>
        <w:spacing w:line="560" w:lineRule="exact"/>
        <w:jc w:val="center"/>
        <w:rPr>
          <w:rFonts w:eastAsia="楷体_GB2312"/>
          <w:b/>
          <w:sz w:val="32"/>
          <w:szCs w:val="32"/>
        </w:rPr>
      </w:pPr>
    </w:p>
    <w:p w14:paraId="618D412D">
      <w:pPr>
        <w:spacing w:line="560" w:lineRule="exact"/>
        <w:jc w:val="center"/>
        <w:rPr>
          <w:rFonts w:eastAsia="楷体_GB2312"/>
          <w:b/>
          <w:sz w:val="32"/>
          <w:szCs w:val="32"/>
        </w:rPr>
      </w:pPr>
    </w:p>
    <w:p w14:paraId="0165C491">
      <w:pPr>
        <w:spacing w:line="560" w:lineRule="exact"/>
        <w:jc w:val="center"/>
        <w:rPr>
          <w:rFonts w:eastAsia="楷体_GB2312"/>
          <w:b/>
          <w:sz w:val="32"/>
          <w:szCs w:val="32"/>
        </w:rPr>
      </w:pPr>
    </w:p>
    <w:p w14:paraId="06960E3E">
      <w:pPr>
        <w:spacing w:line="560" w:lineRule="exact"/>
        <w:jc w:val="center"/>
        <w:rPr>
          <w:rFonts w:eastAsia="楷体_GB2312"/>
          <w:b/>
          <w:sz w:val="32"/>
          <w:szCs w:val="32"/>
        </w:rPr>
      </w:pPr>
    </w:p>
    <w:p w14:paraId="5FF91A70">
      <w:pPr>
        <w:spacing w:line="560" w:lineRule="exact"/>
        <w:jc w:val="center"/>
        <w:rPr>
          <w:rFonts w:eastAsia="楷体_GB2312"/>
          <w:b/>
          <w:sz w:val="32"/>
          <w:szCs w:val="32"/>
        </w:rPr>
      </w:pPr>
    </w:p>
    <w:p w14:paraId="471DAEB1">
      <w:pPr>
        <w:spacing w:line="560" w:lineRule="exact"/>
        <w:jc w:val="center"/>
        <w:rPr>
          <w:rFonts w:eastAsia="楷体_GB2312"/>
          <w:b/>
          <w:sz w:val="32"/>
          <w:szCs w:val="32"/>
        </w:rPr>
      </w:pPr>
    </w:p>
    <w:p w14:paraId="639BC6AD">
      <w:pPr>
        <w:spacing w:line="560" w:lineRule="exact"/>
        <w:jc w:val="center"/>
        <w:rPr>
          <w:rFonts w:eastAsia="楷体_GB2312"/>
          <w:b/>
          <w:sz w:val="32"/>
          <w:szCs w:val="32"/>
        </w:rPr>
      </w:pPr>
    </w:p>
    <w:p w14:paraId="738631A8">
      <w:pPr>
        <w:spacing w:line="560" w:lineRule="exact"/>
        <w:jc w:val="center"/>
        <w:rPr>
          <w:rFonts w:eastAsia="黑体"/>
          <w:sz w:val="32"/>
          <w:szCs w:val="32"/>
        </w:rPr>
      </w:pPr>
    </w:p>
    <w:p w14:paraId="230CF2BC">
      <w:pPr>
        <w:spacing w:line="560" w:lineRule="exact"/>
        <w:jc w:val="center"/>
        <w:rPr>
          <w:rFonts w:eastAsia="黑体"/>
          <w:sz w:val="32"/>
          <w:szCs w:val="32"/>
        </w:rPr>
      </w:pPr>
    </w:p>
    <w:p w14:paraId="468EFF49">
      <w:pPr>
        <w:spacing w:line="56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u w:val="single"/>
        </w:rPr>
        <w:t>东安县旅游发展服务中心</w:t>
      </w:r>
    </w:p>
    <w:p w14:paraId="69933DA0">
      <w:pPr>
        <w:spacing w:line="560" w:lineRule="exact"/>
        <w:ind w:firstLine="3200" w:firstLineChars="1000"/>
        <w:rPr>
          <w:rFonts w:eastAsia="楷体_GB2312"/>
          <w:sz w:val="32"/>
          <w:szCs w:val="32"/>
        </w:rPr>
      </w:pPr>
      <w:r>
        <w:rPr>
          <w:rFonts w:hint="eastAsia" w:eastAsia="楷体_GB2312"/>
          <w:sz w:val="32"/>
          <w:szCs w:val="32"/>
        </w:rPr>
        <w:t>202</w:t>
      </w:r>
      <w:r>
        <w:rPr>
          <w:rFonts w:hint="eastAsia" w:eastAsia="楷体_GB2312"/>
          <w:sz w:val="32"/>
          <w:szCs w:val="32"/>
          <w:lang w:val="en-US" w:eastAsia="zh-CN"/>
        </w:rPr>
        <w:t>5</w:t>
      </w:r>
      <w:r>
        <w:rPr>
          <w:rFonts w:eastAsia="楷体_GB2312"/>
          <w:sz w:val="32"/>
          <w:szCs w:val="32"/>
        </w:rPr>
        <w:t xml:space="preserve">年 </w:t>
      </w:r>
      <w:r>
        <w:rPr>
          <w:rFonts w:hint="eastAsia" w:eastAsia="楷体_GB2312"/>
          <w:sz w:val="32"/>
          <w:szCs w:val="32"/>
          <w:lang w:val="en-US" w:eastAsia="zh-CN"/>
        </w:rPr>
        <w:t>4</w:t>
      </w:r>
      <w:r>
        <w:rPr>
          <w:rFonts w:eastAsia="楷体_GB2312"/>
          <w:sz w:val="32"/>
          <w:szCs w:val="32"/>
        </w:rPr>
        <w:t xml:space="preserve">月 </w:t>
      </w:r>
      <w:r>
        <w:rPr>
          <w:rFonts w:hint="eastAsia" w:eastAsia="楷体_GB2312"/>
          <w:sz w:val="32"/>
          <w:szCs w:val="32"/>
          <w:lang w:val="en-US" w:eastAsia="zh-CN"/>
        </w:rPr>
        <w:t>21</w:t>
      </w:r>
      <w:r>
        <w:rPr>
          <w:rFonts w:eastAsia="楷体_GB2312"/>
          <w:sz w:val="32"/>
          <w:szCs w:val="32"/>
        </w:rPr>
        <w:t>日</w:t>
      </w:r>
    </w:p>
    <w:p w14:paraId="5A08348F">
      <w:pPr>
        <w:spacing w:line="560" w:lineRule="exact"/>
        <w:jc w:val="center"/>
        <w:rPr>
          <w:rFonts w:eastAsia="黑体"/>
          <w:sz w:val="32"/>
          <w:szCs w:val="32"/>
        </w:rPr>
      </w:pPr>
    </w:p>
    <w:p w14:paraId="67105F1A">
      <w:pPr>
        <w:spacing w:line="560" w:lineRule="exact"/>
        <w:jc w:val="center"/>
        <w:rPr>
          <w:rFonts w:eastAsia="黑体"/>
          <w:sz w:val="32"/>
          <w:szCs w:val="32"/>
        </w:rPr>
      </w:pPr>
    </w:p>
    <w:p w14:paraId="45BDEDFD">
      <w:pPr>
        <w:spacing w:line="560" w:lineRule="exact"/>
        <w:jc w:val="center"/>
        <w:rPr>
          <w:rFonts w:eastAsia="黑体"/>
          <w:sz w:val="32"/>
          <w:szCs w:val="32"/>
        </w:rPr>
      </w:pPr>
    </w:p>
    <w:p w14:paraId="3A1BCD85">
      <w:pPr>
        <w:spacing w:line="560" w:lineRule="exact"/>
        <w:jc w:val="center"/>
        <w:rPr>
          <w:rFonts w:eastAsia="黑体"/>
          <w:sz w:val="32"/>
          <w:szCs w:val="32"/>
        </w:rPr>
      </w:pPr>
    </w:p>
    <w:p w14:paraId="0343F4B4">
      <w:pPr>
        <w:adjustRightInd w:val="0"/>
        <w:spacing w:line="560" w:lineRule="exact"/>
        <w:rPr>
          <w:rFonts w:eastAsia="方正小标宋_GBK"/>
          <w:sz w:val="36"/>
          <w:szCs w:val="36"/>
        </w:rPr>
      </w:pPr>
    </w:p>
    <w:p w14:paraId="2AB27875">
      <w:pPr>
        <w:adjustRightInd w:val="0"/>
        <w:spacing w:line="560" w:lineRule="exact"/>
        <w:jc w:val="center"/>
        <w:rPr>
          <w:rFonts w:hint="eastAsia" w:ascii="方正小标宋简体" w:eastAsia="方正小标宋简体"/>
          <w:b/>
          <w:sz w:val="36"/>
          <w:szCs w:val="36"/>
        </w:rPr>
      </w:pPr>
      <w:r>
        <w:rPr>
          <w:rFonts w:hint="eastAsia" w:ascii="方正小标宋简体" w:eastAsia="方正小标宋简体"/>
          <w:b/>
          <w:sz w:val="36"/>
          <w:szCs w:val="36"/>
        </w:rPr>
        <w:t>202</w:t>
      </w:r>
      <w:r>
        <w:rPr>
          <w:rFonts w:hint="eastAsia" w:ascii="方正小标宋简体" w:eastAsia="方正小标宋简体"/>
          <w:b/>
          <w:sz w:val="36"/>
          <w:szCs w:val="36"/>
          <w:lang w:val="en-US" w:eastAsia="zh-CN"/>
        </w:rPr>
        <w:t>4</w:t>
      </w:r>
      <w:r>
        <w:rPr>
          <w:rFonts w:hint="eastAsia" w:ascii="方正小标宋简体" w:eastAsia="方正小标宋简体"/>
          <w:b/>
          <w:sz w:val="36"/>
          <w:szCs w:val="36"/>
        </w:rPr>
        <w:t>年东安县旅游发展服务中心整体支出绩效评价报   告</w:t>
      </w:r>
    </w:p>
    <w:p w14:paraId="1562759C">
      <w:pPr>
        <w:adjustRightInd w:val="0"/>
        <w:snapToGrid w:val="0"/>
        <w:spacing w:line="560" w:lineRule="exact"/>
        <w:ind w:firstLine="640" w:firstLineChars="200"/>
        <w:jc w:val="center"/>
        <w:rPr>
          <w:rFonts w:ascii="楷体" w:hAnsi="楷体" w:eastAsia="楷体"/>
          <w:sz w:val="32"/>
          <w:szCs w:val="32"/>
        </w:rPr>
      </w:pPr>
      <w:r>
        <w:rPr>
          <w:rFonts w:hint="eastAsia" w:ascii="楷体" w:hAnsi="楷体" w:eastAsia="楷体"/>
          <w:sz w:val="32"/>
          <w:szCs w:val="32"/>
        </w:rPr>
        <w:t>东安县旅游发展服务中心</w:t>
      </w:r>
    </w:p>
    <w:p w14:paraId="3679DA0D">
      <w:pPr>
        <w:adjustRightInd w:val="0"/>
        <w:snapToGrid w:val="0"/>
        <w:spacing w:line="560" w:lineRule="exact"/>
        <w:ind w:firstLine="640" w:firstLineChars="200"/>
        <w:jc w:val="center"/>
        <w:rPr>
          <w:rFonts w:ascii="楷体" w:hAnsi="楷体" w:eastAsia="楷体"/>
          <w:sz w:val="32"/>
          <w:szCs w:val="32"/>
        </w:rPr>
      </w:pPr>
      <w:r>
        <w:rPr>
          <w:rFonts w:hint="eastAsia" w:ascii="楷体" w:hAnsi="楷体" w:eastAsia="楷体"/>
          <w:sz w:val="32"/>
          <w:szCs w:val="32"/>
        </w:rPr>
        <w:t>（202</w:t>
      </w:r>
      <w:r>
        <w:rPr>
          <w:rFonts w:hint="eastAsia" w:ascii="楷体" w:hAnsi="楷体" w:eastAsia="楷体"/>
          <w:sz w:val="32"/>
          <w:szCs w:val="32"/>
          <w:lang w:val="en-US" w:eastAsia="zh-CN"/>
        </w:rPr>
        <w:t>5</w:t>
      </w:r>
      <w:r>
        <w:rPr>
          <w:rFonts w:hint="eastAsia" w:ascii="楷体" w:hAnsi="楷体" w:eastAsia="楷体"/>
          <w:sz w:val="32"/>
          <w:szCs w:val="32"/>
        </w:rPr>
        <w:t>年</w:t>
      </w:r>
      <w:r>
        <w:rPr>
          <w:rFonts w:hint="eastAsia" w:ascii="楷体" w:hAnsi="楷体" w:eastAsia="楷体"/>
          <w:sz w:val="32"/>
          <w:szCs w:val="32"/>
          <w:lang w:val="en-US" w:eastAsia="zh-CN"/>
        </w:rPr>
        <w:t>4</w:t>
      </w:r>
      <w:r>
        <w:rPr>
          <w:rFonts w:hint="eastAsia" w:ascii="楷体" w:hAnsi="楷体" w:eastAsia="楷体"/>
          <w:sz w:val="32"/>
          <w:szCs w:val="32"/>
        </w:rPr>
        <w:t xml:space="preserve">月 </w:t>
      </w:r>
      <w:r>
        <w:rPr>
          <w:rFonts w:hint="eastAsia" w:ascii="楷体" w:hAnsi="楷体" w:eastAsia="楷体"/>
          <w:sz w:val="32"/>
          <w:szCs w:val="32"/>
          <w:lang w:val="en-US" w:eastAsia="zh-CN"/>
        </w:rPr>
        <w:t>21</w:t>
      </w:r>
      <w:r>
        <w:rPr>
          <w:rFonts w:hint="eastAsia" w:ascii="楷体" w:hAnsi="楷体" w:eastAsia="楷体"/>
          <w:sz w:val="32"/>
          <w:szCs w:val="32"/>
        </w:rPr>
        <w:t>日）</w:t>
      </w:r>
    </w:p>
    <w:p w14:paraId="7B9CEC9B">
      <w:pPr>
        <w:adjustRightInd w:val="0"/>
        <w:spacing w:line="560" w:lineRule="exact"/>
        <w:rPr>
          <w:rFonts w:eastAsia="仿宋_GB2312"/>
          <w:sz w:val="32"/>
          <w:szCs w:val="32"/>
        </w:rPr>
      </w:pPr>
    </w:p>
    <w:p w14:paraId="67210B8D">
      <w:pPr>
        <w:adjustRightInd w:val="0"/>
        <w:snapToGrid w:val="0"/>
        <w:spacing w:line="560" w:lineRule="exact"/>
        <w:ind w:firstLine="640" w:firstLineChars="200"/>
        <w:rPr>
          <w:rFonts w:eastAsia="黑体"/>
          <w:sz w:val="32"/>
          <w:szCs w:val="32"/>
        </w:rPr>
      </w:pPr>
      <w:r>
        <w:rPr>
          <w:rFonts w:eastAsia="黑体"/>
          <w:sz w:val="32"/>
          <w:szCs w:val="32"/>
        </w:rPr>
        <w:t>一、部门（单位）基本情况</w:t>
      </w:r>
    </w:p>
    <w:p w14:paraId="1E7941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机构及人数</w:t>
      </w:r>
      <w:r>
        <w:rPr>
          <w:rFonts w:hint="eastAsia" w:ascii="仿宋_GB2312" w:hAnsi="仿宋_GB2312" w:eastAsia="仿宋_GB2312" w:cs="仿宋_GB2312"/>
          <w:sz w:val="32"/>
          <w:szCs w:val="32"/>
        </w:rPr>
        <w:t>。东安县旅游发展服务中心为全额拨款正科级公益一类事业单位，内设股室4个，分别为：综合股、政工财务股、市场营销股、产业发展股。我中心编制9人，其中在编在岗工作人员8人。</w:t>
      </w:r>
    </w:p>
    <w:p w14:paraId="09DA39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主要职能</w:t>
      </w:r>
      <w:r>
        <w:rPr>
          <w:rFonts w:hint="eastAsia" w:ascii="仿宋_GB2312" w:hAnsi="仿宋_GB2312" w:eastAsia="仿宋_GB2312" w:cs="仿宋_GB2312"/>
          <w:sz w:val="32"/>
          <w:szCs w:val="32"/>
        </w:rPr>
        <w:t>。我中心主要负责全县旅游项目的编制、策划和服务工作；参与全县旅游重点项目建设、服务和指导；指导新兴旅游业态的项目建设、旅游商品的科研与开发；负责全县旅游业发展的公共服务性工作，指导全县景区和乡村旅游区（点）开展优质服务体系创建；负责全县旅游公共服务体系建设，建立健全旅游集散体系、咨询服务体系，推进旅游信息化建设，强化旅游目的地的综合服务功能；负责收集国内外旅游市场动态信息；积极做好旅游项目包装和招商引资工作，为培育全县旅游品牌做好服务工作；负责编制全县旅游营销推广方案并组织实施；指导编制全县各类旅游宣传资料；组织协调全县旅游节庆活动；组织实施全县旅游产品的推广营销工作；参与旅游业的对外交流工作。</w:t>
      </w:r>
    </w:p>
    <w:p w14:paraId="7B507125">
      <w:pPr>
        <w:pStyle w:val="14"/>
        <w:spacing w:line="560" w:lineRule="exact"/>
        <w:ind w:firstLine="640"/>
        <w:rPr>
          <w:rFonts w:eastAsia="黑体"/>
          <w:sz w:val="32"/>
          <w:szCs w:val="32"/>
        </w:rPr>
      </w:pPr>
      <w:r>
        <w:rPr>
          <w:rFonts w:eastAsia="黑体"/>
          <w:sz w:val="32"/>
          <w:szCs w:val="32"/>
        </w:rPr>
        <w:t>二、</w:t>
      </w:r>
      <w:r>
        <w:rPr>
          <w:rFonts w:ascii="Times New Roman" w:hAnsi="Times New Roman" w:eastAsia="黑体"/>
          <w:sz w:val="32"/>
          <w:szCs w:val="32"/>
        </w:rPr>
        <w:t>一般公共预算支出情况</w:t>
      </w:r>
    </w:p>
    <w:p w14:paraId="7D9692B5">
      <w:pPr>
        <w:pStyle w:val="1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14:paraId="516554B0">
      <w:pPr>
        <w:pStyle w:val="15"/>
        <w:rPr>
          <w:rFonts w:hint="default"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年收入</w:t>
      </w:r>
      <w:r>
        <w:rPr>
          <w:rFonts w:hint="eastAsia" w:ascii="仿宋_GB2312" w:hAnsi="仿宋" w:eastAsia="仿宋_GB2312"/>
          <w:sz w:val="32"/>
          <w:szCs w:val="32"/>
          <w:lang w:eastAsia="zh-CN"/>
        </w:rPr>
        <w:t>年初</w:t>
      </w:r>
      <w:r>
        <w:rPr>
          <w:rFonts w:hint="eastAsia" w:ascii="仿宋_GB2312" w:hAnsi="仿宋" w:eastAsia="仿宋_GB2312"/>
          <w:sz w:val="32"/>
          <w:szCs w:val="32"/>
        </w:rPr>
        <w:t>预算安排</w:t>
      </w:r>
      <w:r>
        <w:rPr>
          <w:rFonts w:hint="eastAsia" w:ascii="仿宋_GB2312" w:hAnsi="仿宋" w:eastAsia="仿宋_GB2312"/>
          <w:sz w:val="32"/>
          <w:szCs w:val="32"/>
          <w:lang w:val="en-US" w:eastAsia="zh-CN"/>
        </w:rPr>
        <w:t>102.7</w:t>
      </w:r>
      <w:r>
        <w:rPr>
          <w:rFonts w:hint="eastAsia" w:ascii="仿宋_GB2312" w:hAnsi="仿宋" w:eastAsia="仿宋_GB2312"/>
          <w:sz w:val="32"/>
          <w:szCs w:val="32"/>
        </w:rPr>
        <w:t>万元，</w:t>
      </w:r>
      <w:r>
        <w:rPr>
          <w:rFonts w:hint="eastAsia" w:eastAsia="仿宋_GB2312"/>
          <w:sz w:val="32"/>
          <w:szCs w:val="32"/>
          <w:lang w:val="en-US" w:eastAsia="zh-CN"/>
        </w:rPr>
        <w:t>其中财政拨款收入</w:t>
      </w:r>
      <w:r>
        <w:rPr>
          <w:rFonts w:hint="eastAsia" w:ascii="仿宋_GB2312" w:eastAsia="仿宋_GB2312"/>
          <w:sz w:val="28"/>
          <w:szCs w:val="28"/>
          <w:u w:val="single"/>
          <w:lang w:val="en-US" w:eastAsia="zh-CN"/>
        </w:rPr>
        <w:t>102.74</w:t>
      </w:r>
      <w:r>
        <w:rPr>
          <w:rFonts w:hint="eastAsia" w:eastAsia="仿宋_GB2312"/>
          <w:sz w:val="32"/>
          <w:szCs w:val="32"/>
          <w:lang w:val="en-US" w:eastAsia="zh-CN"/>
        </w:rPr>
        <w:t>万元，事业收入</w:t>
      </w:r>
      <w:r>
        <w:rPr>
          <w:rFonts w:hint="eastAsia" w:ascii="仿宋_GB2312" w:eastAsia="仿宋_GB2312"/>
          <w:sz w:val="28"/>
          <w:szCs w:val="28"/>
          <w:u w:val="single"/>
          <w:lang w:val="en-US" w:eastAsia="zh-CN"/>
        </w:rPr>
        <w:t>0.00</w:t>
      </w:r>
      <w:r>
        <w:rPr>
          <w:rFonts w:hint="eastAsia" w:eastAsia="仿宋_GB2312"/>
          <w:sz w:val="32"/>
          <w:szCs w:val="32"/>
          <w:lang w:val="en-US" w:eastAsia="zh-CN"/>
        </w:rPr>
        <w:t>万元，其他收入</w:t>
      </w:r>
      <w:r>
        <w:rPr>
          <w:rFonts w:hint="eastAsia" w:ascii="仿宋_GB2312" w:eastAsia="仿宋_GB2312"/>
          <w:sz w:val="28"/>
          <w:szCs w:val="28"/>
          <w:u w:val="single"/>
          <w:lang w:val="en-US" w:eastAsia="zh-CN"/>
        </w:rPr>
        <w:t>0.00</w:t>
      </w:r>
      <w:r>
        <w:rPr>
          <w:rFonts w:hint="eastAsia" w:eastAsia="仿宋_GB2312"/>
          <w:sz w:val="32"/>
          <w:szCs w:val="32"/>
          <w:lang w:val="en-US" w:eastAsia="zh-CN"/>
        </w:rPr>
        <w:t>万元，经营收入</w:t>
      </w:r>
      <w:r>
        <w:rPr>
          <w:rFonts w:hint="eastAsia" w:ascii="仿宋_GB2312" w:eastAsia="仿宋_GB2312"/>
          <w:sz w:val="28"/>
          <w:szCs w:val="28"/>
          <w:u w:val="single"/>
          <w:lang w:val="en-US" w:eastAsia="zh-CN"/>
        </w:rPr>
        <w:t>0.00</w:t>
      </w:r>
      <w:r>
        <w:rPr>
          <w:rFonts w:hint="eastAsia" w:eastAsia="仿宋_GB2312"/>
          <w:sz w:val="32"/>
          <w:szCs w:val="32"/>
          <w:lang w:val="en-US" w:eastAsia="zh-CN"/>
        </w:rPr>
        <w:t>万元；使用非财政拨款结余</w:t>
      </w:r>
      <w:r>
        <w:rPr>
          <w:rFonts w:hint="eastAsia" w:ascii="仿宋_GB2312" w:eastAsia="仿宋_GB2312"/>
          <w:sz w:val="28"/>
          <w:szCs w:val="28"/>
          <w:u w:val="single"/>
          <w:lang w:val="en-US" w:eastAsia="zh-CN"/>
        </w:rPr>
        <w:t>0.00</w:t>
      </w:r>
      <w:r>
        <w:rPr>
          <w:rFonts w:hint="eastAsia" w:eastAsia="仿宋_GB2312"/>
          <w:sz w:val="32"/>
          <w:szCs w:val="32"/>
          <w:lang w:val="en-US" w:eastAsia="zh-CN"/>
        </w:rPr>
        <w:t>万元，年初结转和结余</w:t>
      </w:r>
      <w:r>
        <w:rPr>
          <w:rFonts w:hint="eastAsia" w:ascii="仿宋_GB2312" w:eastAsia="仿宋_GB2312"/>
          <w:sz w:val="28"/>
          <w:szCs w:val="28"/>
          <w:u w:val="single"/>
          <w:lang w:val="en-US" w:eastAsia="zh-CN"/>
        </w:rPr>
        <w:t>0.00</w:t>
      </w:r>
      <w:r>
        <w:rPr>
          <w:rFonts w:hint="eastAsia" w:eastAsia="仿宋_GB2312"/>
          <w:sz w:val="32"/>
          <w:szCs w:val="32"/>
          <w:lang w:val="en-US" w:eastAsia="zh-CN"/>
        </w:rPr>
        <w:t>万元。当年财政拨款收入占比</w:t>
      </w:r>
      <w:r>
        <w:rPr>
          <w:rFonts w:hint="eastAsia" w:ascii="仿宋_GB2312" w:eastAsia="仿宋_GB2312"/>
          <w:sz w:val="28"/>
          <w:szCs w:val="28"/>
          <w:u w:val="single"/>
          <w:lang w:val="en-US" w:eastAsia="zh-CN"/>
        </w:rPr>
        <w:t>100.00</w:t>
      </w:r>
      <w:r>
        <w:rPr>
          <w:rFonts w:eastAsia="仿宋_GB2312"/>
          <w:sz w:val="32"/>
          <w:szCs w:val="32"/>
          <w:u w:val="single"/>
          <w:lang w:val="en-US" w:eastAsia="zh-CN"/>
        </w:rPr>
        <w:t>%</w:t>
      </w:r>
      <w:r>
        <w:rPr>
          <w:rFonts w:hint="eastAsia" w:eastAsia="仿宋_GB2312"/>
          <w:sz w:val="32"/>
          <w:szCs w:val="32"/>
          <w:lang w:val="en-US" w:eastAsia="zh-CN"/>
        </w:rPr>
        <w:t>。</w:t>
      </w:r>
      <w:r>
        <w:rPr>
          <w:rFonts w:hint="eastAsia" w:ascii="仿宋_GB2312" w:hAnsi="仿宋" w:eastAsia="仿宋_GB2312"/>
          <w:sz w:val="32"/>
          <w:szCs w:val="32"/>
        </w:rPr>
        <w:t>比上年</w:t>
      </w:r>
      <w:r>
        <w:rPr>
          <w:rFonts w:hint="eastAsia" w:ascii="仿宋_GB2312" w:hAnsi="仿宋" w:eastAsia="仿宋_GB2312"/>
          <w:sz w:val="32"/>
          <w:szCs w:val="32"/>
          <w:lang w:val="en-US" w:eastAsia="zh-CN"/>
        </w:rPr>
        <w:t>95.60</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7.1</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7.42%</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主要原因是人员经费的增加，新调入一名人员，调整了预算</w:t>
      </w:r>
      <w:r>
        <w:rPr>
          <w:rFonts w:hint="eastAsia" w:ascii="仿宋_GB2312" w:hAnsi="仿宋" w:eastAsia="仿宋_GB2312"/>
          <w:sz w:val="32"/>
          <w:szCs w:val="32"/>
          <w:lang w:val="en-US" w:eastAsia="zh-CN"/>
        </w:rPr>
        <w:t>。</w:t>
      </w:r>
    </w:p>
    <w:p w14:paraId="40824CF1">
      <w:pPr>
        <w:pStyle w:val="15"/>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年支出预算安排</w:t>
      </w:r>
      <w:r>
        <w:rPr>
          <w:rFonts w:hint="eastAsia" w:ascii="仿宋_GB2312" w:hAnsi="仿宋" w:eastAsia="仿宋_GB2312"/>
          <w:sz w:val="32"/>
          <w:szCs w:val="32"/>
          <w:lang w:val="en-US" w:eastAsia="zh-CN"/>
        </w:rPr>
        <w:t>102.7</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95.60</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7.1</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7.42%</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主要原因是人员经费的增加，一则是新调入一名工作人员，二则是基础性绩效纳入工资发放。</w:t>
      </w:r>
    </w:p>
    <w:p w14:paraId="5516ACFE">
      <w:pPr>
        <w:pBdr>
          <w:bottom w:val="single" w:color="FFFFFF" w:sz="4" w:space="20"/>
        </w:pBdr>
        <w:topLinePunct/>
        <w:snapToGrid w:val="0"/>
        <w:spacing w:line="560" w:lineRule="exact"/>
        <w:ind w:firstLine="640" w:firstLineChars="200"/>
        <w:rPr>
          <w:rFonts w:ascii="仿宋_GB2312" w:hAnsi="仿宋_GB2312" w:eastAsia="仿宋_GB2312" w:cs="仿宋_GB2312"/>
          <w:sz w:val="32"/>
          <w:szCs w:val="32"/>
        </w:rPr>
      </w:pPr>
      <w:r>
        <w:rPr>
          <w:rFonts w:eastAsia="仿宋_GB2312"/>
          <w:sz w:val="32"/>
          <w:szCs w:val="32"/>
        </w:rPr>
        <w:t>（二）项目支出情况</w:t>
      </w:r>
    </w:p>
    <w:p w14:paraId="675951F2">
      <w:pPr>
        <w:pBdr>
          <w:bottom w:val="single" w:color="FFFFFF" w:sz="4" w:space="20"/>
        </w:pBdr>
        <w:topLinePunct/>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年业务专项资金年初预算安排收入10万元，决算支出10万元。主要用于旅游推广宣传</w:t>
      </w:r>
      <w:r>
        <w:rPr>
          <w:rFonts w:hint="eastAsia" w:ascii="仿宋_GB2312" w:hAnsi="仿宋_GB2312" w:eastAsia="仿宋_GB2312" w:cs="仿宋_GB2312"/>
          <w:sz w:val="32"/>
          <w:szCs w:val="32"/>
          <w:lang w:eastAsia="zh-CN"/>
        </w:rPr>
        <w:t>、景区标识标牌制作</w:t>
      </w:r>
      <w:r>
        <w:rPr>
          <w:rFonts w:hint="eastAsia" w:ascii="仿宋_GB2312" w:hAnsi="仿宋_GB2312" w:eastAsia="仿宋_GB2312" w:cs="仿宋_GB2312"/>
          <w:sz w:val="32"/>
          <w:szCs w:val="32"/>
        </w:rPr>
        <w:t>。</w:t>
      </w:r>
    </w:p>
    <w:p w14:paraId="1A71ADE3">
      <w:pPr>
        <w:pStyle w:val="14"/>
        <w:numPr>
          <w:ilvl w:val="0"/>
          <w:numId w:val="1"/>
        </w:numPr>
        <w:spacing w:line="560" w:lineRule="exact"/>
        <w:ind w:firstLine="640"/>
        <w:jc w:val="left"/>
        <w:rPr>
          <w:rFonts w:ascii="Times New Roman" w:hAnsi="Times New Roman" w:eastAsia="仿宋_GB2312"/>
          <w:b w:val="0"/>
          <w:bCs w:val="0"/>
          <w:color w:val="000000"/>
          <w:sz w:val="32"/>
          <w:szCs w:val="32"/>
        </w:rPr>
      </w:pPr>
      <w:r>
        <w:rPr>
          <w:rFonts w:ascii="Times New Roman" w:hAnsi="Times New Roman" w:eastAsia="黑体"/>
          <w:b w:val="0"/>
          <w:bCs w:val="0"/>
          <w:sz w:val="32"/>
          <w:szCs w:val="32"/>
        </w:rPr>
        <w:t>政府性基金预算支出情况</w:t>
      </w:r>
      <w:r>
        <w:rPr>
          <w:rFonts w:hint="eastAsia" w:ascii="Times New Roman" w:hAnsi="Times New Roman" w:eastAsia="黑体"/>
          <w:b w:val="0"/>
          <w:bCs w:val="0"/>
          <w:sz w:val="32"/>
          <w:szCs w:val="32"/>
        </w:rPr>
        <w:t>。</w:t>
      </w:r>
    </w:p>
    <w:p w14:paraId="7621CC78">
      <w:pPr>
        <w:pStyle w:val="14"/>
        <w:numPr>
          <w:ilvl w:val="0"/>
          <w:numId w:val="0"/>
        </w:numPr>
        <w:spacing w:line="56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43F41ADF">
      <w:pPr>
        <w:pStyle w:val="14"/>
        <w:numPr>
          <w:ilvl w:val="0"/>
          <w:numId w:val="1"/>
        </w:numPr>
        <w:spacing w:line="56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1E0314B4">
      <w:pPr>
        <w:pStyle w:val="14"/>
        <w:spacing w:line="560" w:lineRule="exact"/>
        <w:ind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我单位无国有资本经营预算支出情况</w:t>
      </w:r>
    </w:p>
    <w:p w14:paraId="43E0E0D3">
      <w:pPr>
        <w:pStyle w:val="14"/>
        <w:numPr>
          <w:ilvl w:val="0"/>
          <w:numId w:val="1"/>
        </w:numPr>
        <w:spacing w:line="56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1C376574">
      <w:pPr>
        <w:pStyle w:val="14"/>
        <w:spacing w:line="560" w:lineRule="exact"/>
        <w:ind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我单位无社会保险基金预算支出情况</w:t>
      </w:r>
    </w:p>
    <w:p w14:paraId="1AF40BEF">
      <w:pPr>
        <w:spacing w:line="560" w:lineRule="exact"/>
        <w:ind w:firstLine="640" w:firstLineChars="200"/>
        <w:rPr>
          <w:rFonts w:eastAsia="黑体"/>
          <w:sz w:val="32"/>
          <w:szCs w:val="32"/>
        </w:rPr>
      </w:pPr>
      <w:r>
        <w:rPr>
          <w:rFonts w:eastAsia="黑体"/>
          <w:sz w:val="32"/>
          <w:szCs w:val="32"/>
        </w:rPr>
        <w:t>六、部门整体支出绩效情况</w:t>
      </w:r>
    </w:p>
    <w:p w14:paraId="641ED6E0">
      <w:pPr>
        <w:pBdr>
          <w:bottom w:val="single" w:color="FFFFFF" w:sz="4" w:space="20"/>
        </w:pBdr>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202</w:t>
      </w:r>
      <w:r>
        <w:rPr>
          <w:rStyle w:val="13"/>
          <w:rFonts w:hint="eastAsia" w:ascii="仿宋_GB2312" w:hAnsi="仿宋_GB2312" w:eastAsia="仿宋_GB2312" w:cs="仿宋_GB2312"/>
          <w:color w:val="000000"/>
          <w:kern w:val="0"/>
          <w:sz w:val="32"/>
          <w:szCs w:val="32"/>
          <w:lang w:val="en-US" w:eastAsia="zh-CN"/>
        </w:rPr>
        <w:t>4</w:t>
      </w:r>
      <w:r>
        <w:rPr>
          <w:rStyle w:val="13"/>
          <w:rFonts w:hint="eastAsia" w:ascii="仿宋_GB2312" w:hAnsi="仿宋_GB2312" w:eastAsia="仿宋_GB2312" w:cs="仿宋_GB2312"/>
          <w:color w:val="000000"/>
          <w:kern w:val="0"/>
          <w:sz w:val="32"/>
          <w:szCs w:val="32"/>
        </w:rPr>
        <w:t>年度我单位对预算资金进行绩效考评，我中心根据年初工作规划和重点性工作，认真履行职责，较好地完成了年初确定的各项工作任务。</w:t>
      </w:r>
    </w:p>
    <w:p w14:paraId="4F6B05B3">
      <w:pPr>
        <w:pBdr>
          <w:bottom w:val="single" w:color="FFFFFF" w:sz="4" w:space="20"/>
        </w:pBdr>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（一）经济性分析</w:t>
      </w:r>
    </w:p>
    <w:p w14:paraId="0B32BDEA">
      <w:pPr>
        <w:pBdr>
          <w:bottom w:val="single" w:color="FFFFFF" w:sz="4" w:space="20"/>
        </w:pBdr>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我中心202</w:t>
      </w:r>
      <w:r>
        <w:rPr>
          <w:rStyle w:val="13"/>
          <w:rFonts w:hint="eastAsia" w:ascii="仿宋_GB2312" w:hAnsi="仿宋_GB2312" w:eastAsia="仿宋_GB2312" w:cs="仿宋_GB2312"/>
          <w:color w:val="000000"/>
          <w:kern w:val="0"/>
          <w:sz w:val="32"/>
          <w:szCs w:val="32"/>
          <w:lang w:val="en-US" w:eastAsia="zh-CN"/>
        </w:rPr>
        <w:t>4</w:t>
      </w:r>
      <w:r>
        <w:rPr>
          <w:rStyle w:val="13"/>
          <w:rFonts w:hint="eastAsia" w:ascii="仿宋_GB2312" w:hAnsi="仿宋_GB2312" w:eastAsia="仿宋_GB2312" w:cs="仿宋_GB2312"/>
          <w:color w:val="000000"/>
          <w:kern w:val="0"/>
          <w:sz w:val="32"/>
          <w:szCs w:val="32"/>
        </w:rPr>
        <w:t>年预算支出总计</w:t>
      </w:r>
      <w:r>
        <w:rPr>
          <w:rStyle w:val="13"/>
          <w:rFonts w:hint="eastAsia" w:ascii="仿宋_GB2312" w:hAnsi="仿宋_GB2312" w:eastAsia="仿宋_GB2312" w:cs="仿宋_GB2312"/>
          <w:color w:val="000000"/>
          <w:kern w:val="0"/>
          <w:sz w:val="32"/>
          <w:szCs w:val="32"/>
          <w:lang w:val="en-US" w:eastAsia="zh-CN"/>
        </w:rPr>
        <w:t>102.74</w:t>
      </w:r>
      <w:r>
        <w:rPr>
          <w:rStyle w:val="13"/>
          <w:rFonts w:hint="eastAsia" w:ascii="仿宋_GB2312" w:hAnsi="仿宋_GB2312" w:eastAsia="仿宋_GB2312" w:cs="仿宋_GB2312"/>
          <w:color w:val="000000"/>
          <w:kern w:val="0"/>
          <w:sz w:val="32"/>
          <w:szCs w:val="32"/>
        </w:rPr>
        <w:t>万元，年末决算支出总计</w:t>
      </w:r>
      <w:r>
        <w:rPr>
          <w:rStyle w:val="13"/>
          <w:rFonts w:hint="eastAsia" w:ascii="仿宋_GB2312" w:hAnsi="仿宋_GB2312" w:eastAsia="仿宋_GB2312" w:cs="仿宋_GB2312"/>
          <w:color w:val="000000"/>
          <w:kern w:val="0"/>
          <w:sz w:val="32"/>
          <w:szCs w:val="32"/>
          <w:lang w:val="en-US" w:eastAsia="zh-CN"/>
        </w:rPr>
        <w:t>154</w:t>
      </w:r>
      <w:r>
        <w:rPr>
          <w:rStyle w:val="13"/>
          <w:rFonts w:hint="eastAsia" w:ascii="仿宋_GB2312" w:hAnsi="仿宋_GB2312" w:eastAsia="仿宋_GB2312" w:cs="仿宋_GB2312"/>
          <w:color w:val="000000"/>
          <w:kern w:val="0"/>
          <w:sz w:val="32"/>
          <w:szCs w:val="32"/>
        </w:rPr>
        <w:t>万元。基本上保障了本单位、各指挥部的各项工作的正常运行。</w:t>
      </w:r>
    </w:p>
    <w:p w14:paraId="12026166">
      <w:pPr>
        <w:pBdr>
          <w:bottom w:val="single" w:color="FFFFFF" w:sz="4" w:space="20"/>
        </w:pBdr>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（二）效率性分析</w:t>
      </w:r>
    </w:p>
    <w:p w14:paraId="72F4B9A4">
      <w:pPr>
        <w:pBdr>
          <w:bottom w:val="single" w:color="FFFFFF" w:sz="4" w:space="20"/>
        </w:pBdr>
        <w:topLinePunct/>
        <w:adjustRightInd w:val="0"/>
        <w:snapToGrid w:val="0"/>
        <w:spacing w:line="560" w:lineRule="exact"/>
        <w:ind w:firstLine="640" w:firstLineChars="200"/>
        <w:rPr>
          <w:rFonts w:hint="eastAsia" w:ascii="仿宋_GB2312" w:hAnsi="仿宋_GB2312" w:eastAsia="仿宋_GB2312" w:cs="仿宋_GB2312"/>
          <w:sz w:val="32"/>
          <w:szCs w:val="32"/>
        </w:rPr>
      </w:pPr>
      <w:r>
        <w:rPr>
          <w:rStyle w:val="13"/>
          <w:rFonts w:hint="eastAsia" w:ascii="仿宋_GB2312" w:hAnsi="仿宋_GB2312" w:eastAsia="仿宋_GB2312" w:cs="仿宋_GB2312"/>
          <w:color w:val="000000"/>
          <w:kern w:val="0"/>
          <w:sz w:val="32"/>
          <w:szCs w:val="32"/>
        </w:rPr>
        <w:t>我中心202</w:t>
      </w:r>
      <w:r>
        <w:rPr>
          <w:rStyle w:val="13"/>
          <w:rFonts w:hint="eastAsia" w:ascii="仿宋_GB2312" w:hAnsi="仿宋_GB2312" w:eastAsia="仿宋_GB2312" w:cs="仿宋_GB2312"/>
          <w:color w:val="000000"/>
          <w:kern w:val="0"/>
          <w:sz w:val="32"/>
          <w:szCs w:val="32"/>
          <w:lang w:val="en-US" w:eastAsia="zh-CN"/>
        </w:rPr>
        <w:t>4</w:t>
      </w:r>
      <w:r>
        <w:rPr>
          <w:rStyle w:val="13"/>
          <w:rFonts w:hint="eastAsia" w:ascii="仿宋_GB2312" w:hAnsi="仿宋_GB2312" w:eastAsia="仿宋_GB2312" w:cs="仿宋_GB2312"/>
          <w:color w:val="000000"/>
          <w:kern w:val="0"/>
          <w:sz w:val="32"/>
          <w:szCs w:val="32"/>
        </w:rPr>
        <w:t>年部门整体支出绩效情况较好，基本上按年初设定的目标任务积极完成了各项工作。产出指标全线飘红,</w:t>
      </w:r>
      <w:r>
        <w:rPr>
          <w:rFonts w:hint="eastAsia" w:ascii="仿宋_GB2312" w:hAnsi="仿宋_GB2312" w:eastAsia="仿宋_GB2312" w:cs="仿宋_GB2312"/>
          <w:sz w:val="32"/>
          <w:szCs w:val="32"/>
        </w:rPr>
        <w:t>我县202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年接待游客总人次</w:t>
      </w: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87.1694</w:t>
      </w:r>
      <w:r>
        <w:rPr>
          <w:rFonts w:hint="eastAsia" w:ascii="仿宋_GB2312" w:hAnsi="仿宋_GB2312" w:eastAsia="仿宋_GB2312" w:cs="仿宋_GB2312"/>
          <w:sz w:val="32"/>
          <w:szCs w:val="32"/>
        </w:rPr>
        <w:t>万人次，实现旅游总收入</w:t>
      </w: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8.5803</w:t>
      </w:r>
      <w:r>
        <w:rPr>
          <w:rFonts w:hint="eastAsia" w:ascii="仿宋_GB2312" w:hAnsi="仿宋_GB2312" w:eastAsia="仿宋_GB2312" w:cs="仿宋_GB2312"/>
          <w:sz w:val="32"/>
          <w:szCs w:val="32"/>
        </w:rPr>
        <w:t>亿元，游客接待人数和旅游收入同比分别增长</w:t>
      </w:r>
      <w:r>
        <w:rPr>
          <w:rFonts w:hint="eastAsia" w:ascii="仿宋_GB2312" w:hAnsi="仿宋" w:eastAsia="仿宋_GB2312" w:cs="仿宋"/>
          <w:sz w:val="32"/>
          <w:szCs w:val="32"/>
          <w:lang w:val="en-US" w:eastAsia="zh-CN"/>
        </w:rPr>
        <w:t>10</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10.46</w:t>
      </w:r>
      <w:r>
        <w:rPr>
          <w:rFonts w:hint="eastAsia" w:ascii="仿宋_GB2312" w:hAnsi="仿宋_GB2312" w:eastAsia="仿宋_GB2312" w:cs="仿宋_GB2312"/>
          <w:sz w:val="32"/>
          <w:szCs w:val="32"/>
        </w:rPr>
        <w:t>%,主要旅游经济指标居全市中上游。满意指标来势喜人,游客满意度</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w:t>
      </w:r>
    </w:p>
    <w:p w14:paraId="44CA32FC">
      <w:pPr>
        <w:pBdr>
          <w:bottom w:val="single" w:color="FFFFFF" w:sz="4" w:space="20"/>
        </w:pBdr>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（三）有效性分析</w:t>
      </w:r>
    </w:p>
    <w:p w14:paraId="45D4B03E">
      <w:pPr>
        <w:pBdr>
          <w:bottom w:val="single" w:color="FFFFFF" w:sz="4" w:space="20"/>
        </w:pBdr>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我中心较好地完成了202</w:t>
      </w:r>
      <w:r>
        <w:rPr>
          <w:rStyle w:val="13"/>
          <w:rFonts w:hint="eastAsia" w:ascii="仿宋_GB2312" w:hAnsi="仿宋_GB2312" w:eastAsia="仿宋_GB2312" w:cs="仿宋_GB2312"/>
          <w:color w:val="000000"/>
          <w:kern w:val="0"/>
          <w:sz w:val="32"/>
          <w:szCs w:val="32"/>
          <w:lang w:val="en-US" w:eastAsia="zh-CN"/>
        </w:rPr>
        <w:t>4</w:t>
      </w:r>
      <w:r>
        <w:rPr>
          <w:rStyle w:val="13"/>
          <w:rFonts w:hint="eastAsia" w:ascii="仿宋_GB2312" w:hAnsi="仿宋_GB2312" w:eastAsia="仿宋_GB2312" w:cs="仿宋_GB2312"/>
          <w:color w:val="000000"/>
          <w:kern w:val="0"/>
          <w:sz w:val="32"/>
          <w:szCs w:val="32"/>
        </w:rPr>
        <w:t>年初设定的工作任务。经济效益持续走高，</w:t>
      </w:r>
      <w:r>
        <w:rPr>
          <w:rStyle w:val="13"/>
          <w:rFonts w:hint="eastAsia" w:ascii="仿宋_GB2312" w:hAnsi="仿宋_GB2312" w:eastAsia="仿宋_GB2312" w:cs="仿宋_GB2312"/>
          <w:color w:val="000000"/>
          <w:kern w:val="0"/>
          <w:sz w:val="32"/>
          <w:szCs w:val="32"/>
          <w:lang w:eastAsia="zh-CN"/>
        </w:rPr>
        <w:t>持续</w:t>
      </w:r>
      <w:r>
        <w:rPr>
          <w:rStyle w:val="13"/>
          <w:rFonts w:hint="eastAsia" w:ascii="仿宋_GB2312" w:hAnsi="仿宋_GB2312" w:eastAsia="仿宋_GB2312" w:cs="仿宋_GB2312"/>
          <w:color w:val="000000"/>
          <w:kern w:val="0"/>
          <w:sz w:val="32"/>
          <w:szCs w:val="32"/>
        </w:rPr>
        <w:t>带动居民增长收入;社会效益来势喜人。</w:t>
      </w:r>
    </w:p>
    <w:p w14:paraId="2C306935">
      <w:pPr>
        <w:pBdr>
          <w:bottom w:val="single" w:color="FFFFFF" w:sz="4" w:space="20"/>
        </w:pBdr>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（四）可持续性分析</w:t>
      </w:r>
    </w:p>
    <w:p w14:paraId="38043081">
      <w:pPr>
        <w:pBdr>
          <w:bottom w:val="single" w:color="FFFFFF" w:sz="4" w:space="20"/>
        </w:pBdr>
        <w:suppressAutoHyphens/>
        <w:topLinePunct/>
        <w:adjustRightInd w:val="0"/>
        <w:snapToGrid w:val="0"/>
        <w:spacing w:line="560" w:lineRule="exact"/>
        <w:ind w:firstLine="640" w:firstLineChars="200"/>
        <w:rPr>
          <w:rStyle w:val="13"/>
          <w:rFonts w:hint="eastAsia"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我中心大力提倡勤俭节约，坚持把有限的经费用在单位的各项工作上，建立健全各项内控制度，在财务上严格审批程序，坚持财务审签一支笔。这些措施，较好地保证了财务开支和资金使用的合法合规、安全有效，较好地保证了旅游发展服务中心各项工作的可持续性发展。</w:t>
      </w:r>
    </w:p>
    <w:p w14:paraId="25B86085">
      <w:pPr>
        <w:pBdr>
          <w:bottom w:val="single" w:color="FFFFFF" w:sz="4" w:space="20"/>
        </w:pBdr>
        <w:suppressAutoHyphens/>
        <w:topLinePunct/>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r>
        <w:rPr>
          <w:rFonts w:eastAsia="黑体"/>
          <w:sz w:val="32"/>
          <w:szCs w:val="32"/>
        </w:rPr>
        <w:t>七、存在的问题及原因分析</w:t>
      </w:r>
    </w:p>
    <w:p w14:paraId="2ADC9F92">
      <w:pPr>
        <w:pBdr>
          <w:bottom w:val="single" w:color="FFFFFF" w:sz="4" w:space="20"/>
        </w:pBdr>
        <w:suppressAutoHyphens/>
        <w:topLinePunct/>
        <w:adjustRightInd w:val="0"/>
        <w:snapToGrid w:val="0"/>
        <w:spacing w:line="560" w:lineRule="exact"/>
        <w:ind w:firstLine="640" w:firstLineChars="200"/>
        <w:rPr>
          <w:rStyle w:val="13"/>
          <w:rFonts w:ascii="仿宋_GB2312" w:hAnsi="仿宋_GB2312" w:eastAsia="仿宋_GB2312" w:cs="仿宋_GB2312"/>
          <w:color w:val="000000"/>
          <w:kern w:val="0"/>
          <w:sz w:val="32"/>
          <w:szCs w:val="32"/>
        </w:rPr>
      </w:pPr>
      <w:r>
        <w:rPr>
          <w:rStyle w:val="13"/>
          <w:rFonts w:hint="eastAsia" w:ascii="仿宋_GB2312" w:hAnsi="仿宋_GB2312" w:eastAsia="仿宋_GB2312" w:cs="仿宋_GB2312"/>
          <w:color w:val="000000"/>
          <w:kern w:val="0"/>
          <w:sz w:val="32"/>
          <w:szCs w:val="32"/>
        </w:rPr>
        <w:t>1、由于行政经费少，预算编制的精准性、合理性有待提高，年中根据具体专项业务追加资金具有不确定性，财政资金不能及时拨付到位，预算执行中存在偏差。</w:t>
      </w:r>
    </w:p>
    <w:p w14:paraId="43D500C2">
      <w:pPr>
        <w:pBdr>
          <w:bottom w:val="single" w:color="FFFFFF" w:sz="4" w:space="20"/>
        </w:pBdr>
        <w:suppressAutoHyphens/>
        <w:topLinePunct/>
        <w:adjustRightInd w:val="0"/>
        <w:snapToGrid w:val="0"/>
        <w:spacing w:line="560" w:lineRule="exact"/>
        <w:ind w:firstLine="640" w:firstLineChars="200"/>
        <w:rPr>
          <w:rStyle w:val="13"/>
          <w:rFonts w:eastAsia="仿宋_GB2312" w:cs="仿宋_GB2312" w:asciiTheme="minorHAnsi" w:hAnsiTheme="minorHAnsi"/>
          <w:color w:val="000000"/>
          <w:kern w:val="0"/>
          <w:sz w:val="32"/>
          <w:szCs w:val="32"/>
        </w:rPr>
      </w:pPr>
      <w:r>
        <w:rPr>
          <w:rStyle w:val="13"/>
          <w:rFonts w:hint="eastAsia" w:ascii="仿宋_GB2312" w:hAnsi="仿宋_GB2312" w:eastAsia="仿宋_GB2312" w:cs="仿宋_GB2312"/>
          <w:color w:val="000000"/>
          <w:kern w:val="0"/>
          <w:sz w:val="32"/>
          <w:szCs w:val="32"/>
        </w:rPr>
        <w:t>2、由于部分指挥部经费拨到我单位开支，从预算中无法</w:t>
      </w:r>
      <w:r>
        <w:rPr>
          <w:rStyle w:val="13"/>
          <w:rFonts w:hint="eastAsia" w:ascii="仿宋_GB2312" w:hAnsi="仿宋_GB2312" w:eastAsia="仿宋_GB2312" w:cs="仿宋_GB2312"/>
          <w:color w:val="000000"/>
          <w:kern w:val="0"/>
          <w:sz w:val="32"/>
          <w:szCs w:val="32"/>
          <w:lang w:eastAsia="zh-CN"/>
        </w:rPr>
        <w:t>体</w:t>
      </w:r>
      <w:r>
        <w:rPr>
          <w:rStyle w:val="13"/>
          <w:rFonts w:hint="eastAsia" w:ascii="仿宋_GB2312" w:hAnsi="仿宋_GB2312" w:eastAsia="仿宋_GB2312" w:cs="仿宋_GB2312"/>
          <w:color w:val="000000"/>
          <w:kern w:val="0"/>
          <w:sz w:val="32"/>
          <w:szCs w:val="32"/>
        </w:rPr>
        <w:t>现指挥部经费，而决算里却体现了指挥部经费，导致预算编制不准确，同时也无法更好规范指挥部资金管理及资金使用。</w:t>
      </w:r>
    </w:p>
    <w:p w14:paraId="2ACDCC18">
      <w:pPr>
        <w:pBdr>
          <w:bottom w:val="single" w:color="FFFFFF" w:sz="4" w:space="20"/>
        </w:pBdr>
        <w:suppressAutoHyphens/>
        <w:topLinePunct/>
        <w:adjustRightInd w:val="0"/>
        <w:snapToGrid w:val="0"/>
        <w:spacing w:line="560" w:lineRule="exact"/>
        <w:ind w:firstLine="640" w:firstLineChars="200"/>
        <w:rPr>
          <w:rFonts w:eastAsia="仿宋_GB2312" w:cs="仿宋_GB2312" w:asciiTheme="minorHAnsi" w:hAnsiTheme="minorHAnsi"/>
          <w:color w:val="000000"/>
          <w:kern w:val="0"/>
          <w:sz w:val="32"/>
          <w:szCs w:val="32"/>
        </w:rPr>
      </w:pPr>
      <w:r>
        <w:rPr>
          <w:rFonts w:hint="eastAsia" w:ascii="黑体" w:eastAsia="黑体"/>
          <w:sz w:val="32"/>
          <w:szCs w:val="32"/>
        </w:rPr>
        <w:t>八、</w:t>
      </w:r>
      <w:r>
        <w:rPr>
          <w:rFonts w:eastAsia="黑体"/>
          <w:sz w:val="32"/>
          <w:szCs w:val="32"/>
        </w:rPr>
        <w:t>下一步改进措施</w:t>
      </w:r>
    </w:p>
    <w:p w14:paraId="4191CF92">
      <w:pPr>
        <w:pBdr>
          <w:bottom w:val="single" w:color="FFFFFF" w:sz="4" w:space="20"/>
        </w:pBdr>
        <w:suppressAutoHyphens/>
        <w:topLinePunct/>
        <w:adjustRightInd w:val="0"/>
        <w:snapToGrid w:val="0"/>
        <w:spacing w:line="560" w:lineRule="exact"/>
        <w:ind w:firstLine="643" w:firstLineChars="200"/>
        <w:rPr>
          <w:rFonts w:eastAsia="仿宋_GB2312" w:cs="仿宋_GB2312" w:asciiTheme="minorHAnsi" w:hAnsiTheme="minorHAnsi"/>
          <w:color w:val="000000"/>
          <w:kern w:val="0"/>
          <w:sz w:val="32"/>
          <w:szCs w:val="32"/>
        </w:rPr>
      </w:pPr>
      <w:r>
        <w:rPr>
          <w:rFonts w:hint="eastAsia" w:ascii="仿宋_GB2312" w:hAnsi="仿宋_GB2312" w:eastAsia="仿宋_GB2312" w:cs="仿宋_GB2312"/>
          <w:b/>
          <w:color w:val="222222"/>
          <w:kern w:val="0"/>
          <w:sz w:val="32"/>
          <w:szCs w:val="32"/>
        </w:rPr>
        <w:t xml:space="preserve">1. </w:t>
      </w:r>
      <w:r>
        <w:rPr>
          <w:rFonts w:hint="eastAsia" w:ascii="楷体" w:hAnsi="楷体" w:eastAsia="楷体" w:cs="楷体"/>
          <w:b/>
          <w:color w:val="222222"/>
          <w:kern w:val="0"/>
          <w:sz w:val="32"/>
          <w:szCs w:val="32"/>
        </w:rPr>
        <w:t>细化预算编制工作，认真做好预算的编制。</w:t>
      </w:r>
      <w:r>
        <w:rPr>
          <w:rFonts w:hint="eastAsia" w:ascii="仿宋_GB2312" w:hAnsi="仿宋_GB2312" w:eastAsia="仿宋_GB2312" w:cs="仿宋_GB2312"/>
          <w:kern w:val="0"/>
          <w:sz w:val="32"/>
          <w:szCs w:val="32"/>
        </w:rPr>
        <w:t>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ascii="仿宋_GB2312" w:hAnsi="仿宋_GB2312" w:eastAsia="仿宋_GB2312" w:cs="仿宋_GB2312"/>
          <w:color w:val="222222"/>
          <w:kern w:val="0"/>
          <w:sz w:val="32"/>
          <w:szCs w:val="32"/>
        </w:rPr>
        <w:t>提高预算的合理性和准确性</w:t>
      </w:r>
      <w:r>
        <w:rPr>
          <w:rFonts w:hint="eastAsia" w:ascii="仿宋_GB2312" w:hAnsi="仿宋_GB2312" w:eastAsia="仿宋_GB2312" w:cs="仿宋_GB2312"/>
          <w:kern w:val="0"/>
          <w:sz w:val="32"/>
          <w:szCs w:val="32"/>
        </w:rPr>
        <w:t>。遵循预算管理办法，从严控制年中追加预算规模。加快项目实施进度的推进，加强项目开展进度的跟踪，开展项目绩效评价，确保项目绩效目标的完成，发挥资金的使用效益。</w:t>
      </w:r>
    </w:p>
    <w:p w14:paraId="73F92DC6">
      <w:pPr>
        <w:pBdr>
          <w:bottom w:val="single" w:color="FFFFFF" w:sz="4" w:space="20"/>
        </w:pBdr>
        <w:suppressAutoHyphens/>
        <w:topLinePunct/>
        <w:adjustRightInd w:val="0"/>
        <w:snapToGrid w:val="0"/>
        <w:spacing w:line="560" w:lineRule="exact"/>
        <w:ind w:firstLine="643" w:firstLineChars="200"/>
        <w:rPr>
          <w:rFonts w:eastAsia="仿宋_GB2312" w:cs="仿宋_GB2312" w:asciiTheme="minorHAnsi" w:hAnsiTheme="minorHAnsi"/>
          <w:color w:val="000000"/>
          <w:kern w:val="0"/>
          <w:sz w:val="32"/>
          <w:szCs w:val="32"/>
        </w:rPr>
      </w:pPr>
      <w:r>
        <w:rPr>
          <w:rFonts w:hint="eastAsia" w:ascii="仿宋_GB2312" w:hAnsi="仿宋_GB2312" w:eastAsia="仿宋_GB2312" w:cs="仿宋_GB2312"/>
          <w:b/>
          <w:color w:val="222222"/>
          <w:kern w:val="0"/>
          <w:sz w:val="32"/>
          <w:szCs w:val="32"/>
        </w:rPr>
        <w:t xml:space="preserve">2. </w:t>
      </w:r>
      <w:r>
        <w:rPr>
          <w:rFonts w:hint="eastAsia" w:ascii="楷体" w:hAnsi="楷体" w:eastAsia="楷体" w:cs="楷体"/>
          <w:b/>
          <w:color w:val="222222"/>
          <w:kern w:val="0"/>
          <w:sz w:val="32"/>
          <w:szCs w:val="32"/>
        </w:rPr>
        <w:t>加强财务管理，严格财务审核。</w:t>
      </w:r>
      <w:r>
        <w:rPr>
          <w:rFonts w:hint="eastAsia" w:ascii="仿宋_GB2312" w:hAnsi="仿宋_GB2312" w:eastAsia="仿宋_GB2312" w:cs="仿宋_GB2312"/>
          <w:color w:val="222222"/>
          <w:kern w:val="0"/>
          <w:sz w:val="32"/>
          <w:szCs w:val="32"/>
        </w:rPr>
        <w:t>在费用报账支付时，按照预算规定的费用项目和用途进行资金使用审核、列报支付、财务核算，杜绝超支现象的发生。定期做好预算支出财务分析，做好部门整体支出预算评价工作。</w:t>
      </w:r>
    </w:p>
    <w:p w14:paraId="34D93014">
      <w:pPr>
        <w:pBdr>
          <w:bottom w:val="single" w:color="FFFFFF" w:sz="4" w:space="20"/>
        </w:pBdr>
        <w:suppressAutoHyphens/>
        <w:topLinePunct/>
        <w:adjustRightInd w:val="0"/>
        <w:snapToGrid w:val="0"/>
        <w:spacing w:line="560" w:lineRule="exact"/>
        <w:ind w:firstLine="643" w:firstLineChars="200"/>
        <w:rPr>
          <w:rFonts w:eastAsia="仿宋_GB2312" w:cs="仿宋_GB2312" w:asciiTheme="minorHAnsi" w:hAnsiTheme="minorHAnsi"/>
          <w:color w:val="000000"/>
          <w:kern w:val="0"/>
          <w:sz w:val="32"/>
          <w:szCs w:val="32"/>
        </w:rPr>
      </w:pPr>
      <w:r>
        <w:rPr>
          <w:rFonts w:hint="eastAsia" w:ascii="仿宋_GB2312" w:hAnsi="仿宋_GB2312" w:eastAsia="仿宋_GB2312" w:cs="仿宋_GB2312"/>
          <w:b/>
          <w:color w:val="222222"/>
          <w:kern w:val="0"/>
          <w:sz w:val="32"/>
          <w:szCs w:val="32"/>
        </w:rPr>
        <w:t>3．</w:t>
      </w:r>
      <w:r>
        <w:rPr>
          <w:rFonts w:hint="eastAsia" w:ascii="楷体" w:hAnsi="楷体" w:eastAsia="楷体" w:cs="楷体"/>
          <w:b/>
          <w:color w:val="222222"/>
          <w:kern w:val="0"/>
          <w:sz w:val="32"/>
          <w:szCs w:val="32"/>
        </w:rPr>
        <w:t>持续抓好“三公”经费控制管理</w:t>
      </w:r>
      <w:r>
        <w:rPr>
          <w:rFonts w:hint="eastAsia" w:ascii="仿宋_GB2312" w:hAnsi="仿宋_GB2312" w:eastAsia="仿宋_GB2312" w:cs="仿宋_GB2312"/>
          <w:b/>
          <w:color w:val="222222"/>
          <w:kern w:val="0"/>
          <w:sz w:val="32"/>
          <w:szCs w:val="32"/>
        </w:rPr>
        <w:t>。</w:t>
      </w:r>
      <w:r>
        <w:rPr>
          <w:rFonts w:hint="eastAsia" w:ascii="仿宋_GB2312" w:hAnsi="仿宋_GB2312" w:eastAsia="仿宋_GB2312" w:cs="仿宋_GB2312"/>
          <w:color w:val="222222"/>
          <w:kern w:val="0"/>
          <w:sz w:val="32"/>
          <w:szCs w:val="32"/>
        </w:rPr>
        <w:t>严格控制“三公”经费的规模和比例，把关“三公”经费支出的审核、审批，杜绝挪用和挤占其他预算资金行为；进一步细化“三公”经费的管理，合理压缩“三公”经费支出。</w:t>
      </w:r>
    </w:p>
    <w:p w14:paraId="1E3B3ED3">
      <w:pPr>
        <w:pBdr>
          <w:bottom w:val="single" w:color="FFFFFF" w:sz="4" w:space="20"/>
        </w:pBdr>
        <w:suppressAutoHyphens/>
        <w:topLinePunct/>
        <w:adjustRightInd w:val="0"/>
        <w:snapToGrid w:val="0"/>
        <w:spacing w:line="560" w:lineRule="exact"/>
        <w:ind w:firstLine="640" w:firstLineChars="200"/>
        <w:rPr>
          <w:rFonts w:ascii="仿宋_GB2312" w:hAnsi="仿宋_GB2312" w:eastAsia="仿宋_GB2312" w:cs="仿宋_GB2312"/>
          <w:color w:val="000000"/>
          <w:kern w:val="0"/>
          <w:sz w:val="32"/>
          <w:szCs w:val="32"/>
        </w:rPr>
      </w:pPr>
    </w:p>
    <w:p w14:paraId="2BD3B4FB">
      <w:pPr>
        <w:widowControl/>
        <w:shd w:val="clear" w:color="auto" w:fill="FFFFFF"/>
        <w:autoSpaceDE w:val="0"/>
        <w:spacing w:line="560" w:lineRule="exact"/>
        <w:ind w:firstLine="643" w:firstLineChars="200"/>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b/>
          <w:bCs/>
          <w:color w:val="222222"/>
          <w:kern w:val="0"/>
          <w:sz w:val="32"/>
          <w:szCs w:val="32"/>
          <w:lang w:val="en-US" w:eastAsia="zh-CN"/>
        </w:rPr>
        <w:t>4</w:t>
      </w:r>
      <w:r>
        <w:rPr>
          <w:rFonts w:hint="eastAsia" w:ascii="仿宋_GB2312" w:hAnsi="仿宋_GB2312" w:eastAsia="仿宋_GB2312" w:cs="仿宋_GB2312"/>
          <w:b/>
          <w:bCs/>
          <w:color w:val="222222"/>
          <w:kern w:val="0"/>
          <w:sz w:val="32"/>
          <w:szCs w:val="32"/>
        </w:rPr>
        <w:t>.</w:t>
      </w:r>
      <w:r>
        <w:rPr>
          <w:rFonts w:hint="eastAsia" w:ascii="楷体" w:hAnsi="楷体" w:eastAsia="楷体" w:cs="楷体"/>
          <w:color w:val="222222"/>
          <w:kern w:val="0"/>
          <w:sz w:val="32"/>
          <w:szCs w:val="32"/>
        </w:rPr>
        <w:t>强化人才队伍建设</w:t>
      </w:r>
      <w:r>
        <w:rPr>
          <w:rFonts w:hint="eastAsia" w:ascii="仿宋_GB2312" w:hAnsi="仿宋_GB2312" w:eastAsia="仿宋_GB2312" w:cs="仿宋_GB2312"/>
          <w:color w:val="222222"/>
          <w:kern w:val="0"/>
          <w:sz w:val="32"/>
          <w:szCs w:val="32"/>
        </w:rPr>
        <w:t>。开展预算绩效自评工作交流调研工作，提高财务人员绩效评价专业能力。</w:t>
      </w:r>
      <w:bookmarkStart w:id="0" w:name="_GoBack"/>
      <w:bookmarkEnd w:id="0"/>
    </w:p>
    <w:p w14:paraId="338A49EE">
      <w:pPr>
        <w:spacing w:line="560" w:lineRule="exact"/>
        <w:ind w:firstLine="640" w:firstLineChars="200"/>
        <w:rPr>
          <w:rFonts w:eastAsia="黑体"/>
          <w:sz w:val="32"/>
          <w:szCs w:val="32"/>
        </w:rPr>
      </w:pPr>
      <w:r>
        <w:rPr>
          <w:rFonts w:eastAsia="黑体"/>
          <w:sz w:val="32"/>
          <w:szCs w:val="32"/>
        </w:rPr>
        <w:t>九、部门整体支出绩效自评结果拟应用和公开情况</w:t>
      </w:r>
    </w:p>
    <w:p w14:paraId="50259ABE">
      <w:pPr>
        <w:spacing w:line="560" w:lineRule="exact"/>
        <w:ind w:firstLine="640" w:firstLineChars="200"/>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根据县财政相关部门统一部署，我单位202</w:t>
      </w:r>
      <w:r>
        <w:rPr>
          <w:rFonts w:hint="eastAsia" w:ascii="仿宋_GB2312" w:hAnsi="仿宋_GB2312" w:eastAsia="仿宋_GB2312" w:cs="仿宋_GB2312"/>
          <w:color w:val="222222"/>
          <w:kern w:val="0"/>
          <w:sz w:val="32"/>
          <w:szCs w:val="32"/>
          <w:lang w:val="en-US" w:eastAsia="zh-CN"/>
        </w:rPr>
        <w:t>4</w:t>
      </w:r>
      <w:r>
        <w:rPr>
          <w:rFonts w:hint="eastAsia" w:ascii="仿宋_GB2312" w:hAnsi="仿宋_GB2312" w:eastAsia="仿宋_GB2312" w:cs="仿宋_GB2312"/>
          <w:color w:val="222222"/>
          <w:kern w:val="0"/>
          <w:sz w:val="32"/>
          <w:szCs w:val="32"/>
        </w:rPr>
        <w:t>年部门整体支出绩效自评情况将在</w:t>
      </w:r>
      <w:r>
        <w:rPr>
          <w:rFonts w:hint="eastAsia" w:ascii="仿宋_GB2312" w:hAnsi="仿宋_GB2312" w:eastAsia="仿宋_GB2312" w:cs="仿宋_GB2312"/>
          <w:color w:val="222222"/>
          <w:kern w:val="0"/>
          <w:sz w:val="32"/>
          <w:szCs w:val="32"/>
          <w:lang w:eastAsia="zh-CN"/>
        </w:rPr>
        <w:t>东安</w:t>
      </w:r>
      <w:r>
        <w:rPr>
          <w:rFonts w:hint="eastAsia" w:ascii="仿宋_GB2312" w:hAnsi="仿宋_GB2312" w:eastAsia="仿宋_GB2312" w:cs="仿宋_GB2312"/>
          <w:color w:val="222222"/>
          <w:kern w:val="0"/>
          <w:sz w:val="32"/>
          <w:szCs w:val="32"/>
        </w:rPr>
        <w:t>县政府门户网站公开，接受社会监督。对绩效自评工作中发现的问题及时整改，解决好绩效评价管理中存在的问题，提高工作效能。根据部门整体支出绩效评价指标评分标准，202</w:t>
      </w:r>
      <w:r>
        <w:rPr>
          <w:rFonts w:hint="eastAsia" w:ascii="仿宋_GB2312" w:hAnsi="仿宋_GB2312" w:eastAsia="仿宋_GB2312" w:cs="仿宋_GB2312"/>
          <w:color w:val="222222"/>
          <w:kern w:val="0"/>
          <w:sz w:val="32"/>
          <w:szCs w:val="32"/>
          <w:lang w:val="en-US" w:eastAsia="zh-CN"/>
        </w:rPr>
        <w:t>4</w:t>
      </w:r>
      <w:r>
        <w:rPr>
          <w:rFonts w:hint="eastAsia" w:ascii="仿宋_GB2312" w:hAnsi="仿宋_GB2312" w:eastAsia="仿宋_GB2312" w:cs="仿宋_GB2312"/>
          <w:color w:val="222222"/>
          <w:kern w:val="0"/>
          <w:sz w:val="32"/>
          <w:szCs w:val="32"/>
        </w:rPr>
        <w:t>年我单位部门整体绩效评价自评分为9</w:t>
      </w:r>
      <w:r>
        <w:rPr>
          <w:rFonts w:hint="eastAsia" w:ascii="仿宋_GB2312" w:hAnsi="仿宋_GB2312" w:eastAsia="仿宋_GB2312" w:cs="仿宋_GB2312"/>
          <w:color w:val="222222"/>
          <w:kern w:val="0"/>
          <w:sz w:val="32"/>
          <w:szCs w:val="32"/>
          <w:lang w:val="en-US" w:eastAsia="zh-CN"/>
        </w:rPr>
        <w:t>7.41</w:t>
      </w:r>
      <w:r>
        <w:rPr>
          <w:rFonts w:hint="eastAsia" w:ascii="仿宋_GB2312" w:hAnsi="仿宋_GB2312" w:eastAsia="仿宋_GB2312" w:cs="仿宋_GB2312"/>
          <w:color w:val="222222"/>
          <w:kern w:val="0"/>
          <w:sz w:val="32"/>
          <w:szCs w:val="32"/>
        </w:rPr>
        <w:t>分。</w:t>
      </w:r>
    </w:p>
    <w:p w14:paraId="3447BF14">
      <w:pPr>
        <w:spacing w:line="56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33A6F146">
      <w:pPr>
        <w:adjustRightInd w:val="0"/>
        <w:snapToGrid w:val="0"/>
        <w:spacing w:line="560" w:lineRule="exact"/>
        <w:ind w:firstLine="640" w:firstLineChars="200"/>
        <w:rPr>
          <w:rStyle w:val="9"/>
          <w:rFonts w:ascii="仿宋" w:hAnsi="仿宋" w:eastAsia="仿宋"/>
          <w:sz w:val="32"/>
          <w:szCs w:val="32"/>
        </w:rPr>
      </w:pPr>
      <w:r>
        <w:rPr>
          <w:rFonts w:hint="eastAsia" w:ascii="仿宋_GB2312" w:hAnsi="仿宋_GB2312" w:eastAsia="仿宋_GB2312" w:cs="仿宋_GB2312"/>
          <w:color w:val="222222"/>
          <w:kern w:val="0"/>
          <w:sz w:val="32"/>
          <w:szCs w:val="32"/>
        </w:rPr>
        <w:t>建议将各指挥部经费与我单位经费分开账套使用，能更好的如实体现我单位的预算资金、资金使用情况。</w:t>
      </w: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5FD5F"/>
    <w:multiLevelType w:val="singleLevel"/>
    <w:tmpl w:val="F825FD5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Tk4ZGJiZjM3MzVlODE0N2JkNmY5ZDNhOTNkY2IifQ=="/>
  </w:docVars>
  <w:rsids>
    <w:rsidRoot w:val="00E023F5"/>
    <w:rsid w:val="00006296"/>
    <w:rsid w:val="00037B95"/>
    <w:rsid w:val="00151FB2"/>
    <w:rsid w:val="0017128D"/>
    <w:rsid w:val="00273308"/>
    <w:rsid w:val="002905AF"/>
    <w:rsid w:val="002A087C"/>
    <w:rsid w:val="003C45E1"/>
    <w:rsid w:val="0041125B"/>
    <w:rsid w:val="00491393"/>
    <w:rsid w:val="004A139B"/>
    <w:rsid w:val="005A2185"/>
    <w:rsid w:val="005A30F2"/>
    <w:rsid w:val="005B2827"/>
    <w:rsid w:val="006117C5"/>
    <w:rsid w:val="0061728F"/>
    <w:rsid w:val="0073431B"/>
    <w:rsid w:val="00762D52"/>
    <w:rsid w:val="00783181"/>
    <w:rsid w:val="00836368"/>
    <w:rsid w:val="00877BA1"/>
    <w:rsid w:val="008831BE"/>
    <w:rsid w:val="008E34F5"/>
    <w:rsid w:val="009D7FC8"/>
    <w:rsid w:val="00A76448"/>
    <w:rsid w:val="00B30C5E"/>
    <w:rsid w:val="00B74A87"/>
    <w:rsid w:val="00BD7549"/>
    <w:rsid w:val="00C25252"/>
    <w:rsid w:val="00C32FD6"/>
    <w:rsid w:val="00CB23D9"/>
    <w:rsid w:val="00CD3536"/>
    <w:rsid w:val="00CE0BD6"/>
    <w:rsid w:val="00D116AF"/>
    <w:rsid w:val="00D1790A"/>
    <w:rsid w:val="00D90AB0"/>
    <w:rsid w:val="00DF468F"/>
    <w:rsid w:val="00E023F5"/>
    <w:rsid w:val="00E11848"/>
    <w:rsid w:val="00E14B87"/>
    <w:rsid w:val="00E641CA"/>
    <w:rsid w:val="00E96CA1"/>
    <w:rsid w:val="00EA1F7D"/>
    <w:rsid w:val="00EA78EA"/>
    <w:rsid w:val="00F16E04"/>
    <w:rsid w:val="00F94903"/>
    <w:rsid w:val="00FE7BF5"/>
    <w:rsid w:val="00FF144E"/>
    <w:rsid w:val="01CA3F1A"/>
    <w:rsid w:val="02B80216"/>
    <w:rsid w:val="03766107"/>
    <w:rsid w:val="03FB4AD1"/>
    <w:rsid w:val="053242B0"/>
    <w:rsid w:val="05F52A4A"/>
    <w:rsid w:val="06021ED4"/>
    <w:rsid w:val="06ED5AF7"/>
    <w:rsid w:val="077741FC"/>
    <w:rsid w:val="07A1192D"/>
    <w:rsid w:val="082823FE"/>
    <w:rsid w:val="0895702F"/>
    <w:rsid w:val="0971426E"/>
    <w:rsid w:val="09AF4121"/>
    <w:rsid w:val="0A884FDD"/>
    <w:rsid w:val="0CC53C5B"/>
    <w:rsid w:val="0FC85F3C"/>
    <w:rsid w:val="11072A94"/>
    <w:rsid w:val="11254CC9"/>
    <w:rsid w:val="127A7296"/>
    <w:rsid w:val="133B3709"/>
    <w:rsid w:val="14425B91"/>
    <w:rsid w:val="154D64CB"/>
    <w:rsid w:val="159879D0"/>
    <w:rsid w:val="192D6E10"/>
    <w:rsid w:val="1E2307E2"/>
    <w:rsid w:val="1E2B7FD1"/>
    <w:rsid w:val="22521696"/>
    <w:rsid w:val="24A42552"/>
    <w:rsid w:val="251B0465"/>
    <w:rsid w:val="254A0D4A"/>
    <w:rsid w:val="27620233"/>
    <w:rsid w:val="27934C2A"/>
    <w:rsid w:val="298962E5"/>
    <w:rsid w:val="2A110088"/>
    <w:rsid w:val="2AD140D8"/>
    <w:rsid w:val="2D804BCF"/>
    <w:rsid w:val="3058256D"/>
    <w:rsid w:val="30937A49"/>
    <w:rsid w:val="31D200FD"/>
    <w:rsid w:val="33185FE3"/>
    <w:rsid w:val="35C97A69"/>
    <w:rsid w:val="37863E63"/>
    <w:rsid w:val="38351EAB"/>
    <w:rsid w:val="38A60317"/>
    <w:rsid w:val="39000043"/>
    <w:rsid w:val="3A3F654C"/>
    <w:rsid w:val="3CE77152"/>
    <w:rsid w:val="3D1F1AFD"/>
    <w:rsid w:val="3E2C6DE7"/>
    <w:rsid w:val="3F4563B2"/>
    <w:rsid w:val="3FA07A8C"/>
    <w:rsid w:val="402762FB"/>
    <w:rsid w:val="407E2FE4"/>
    <w:rsid w:val="42391647"/>
    <w:rsid w:val="42C0523B"/>
    <w:rsid w:val="4484797D"/>
    <w:rsid w:val="45336CAD"/>
    <w:rsid w:val="46672E81"/>
    <w:rsid w:val="46CF76F8"/>
    <w:rsid w:val="46F76F45"/>
    <w:rsid w:val="4B017519"/>
    <w:rsid w:val="4BB723E6"/>
    <w:rsid w:val="4CF22512"/>
    <w:rsid w:val="4D7D1173"/>
    <w:rsid w:val="4D802F57"/>
    <w:rsid w:val="4DBC0187"/>
    <w:rsid w:val="50E6791D"/>
    <w:rsid w:val="52726B15"/>
    <w:rsid w:val="533F163E"/>
    <w:rsid w:val="550541C2"/>
    <w:rsid w:val="562C7062"/>
    <w:rsid w:val="575E405D"/>
    <w:rsid w:val="58505693"/>
    <w:rsid w:val="58953AAF"/>
    <w:rsid w:val="58E53E93"/>
    <w:rsid w:val="5BF62025"/>
    <w:rsid w:val="5BFF7CD2"/>
    <w:rsid w:val="5CD97003"/>
    <w:rsid w:val="5F9E76ED"/>
    <w:rsid w:val="5FE231E0"/>
    <w:rsid w:val="614E6EF1"/>
    <w:rsid w:val="6457430E"/>
    <w:rsid w:val="65ED526D"/>
    <w:rsid w:val="65F067C8"/>
    <w:rsid w:val="662B5A52"/>
    <w:rsid w:val="68680898"/>
    <w:rsid w:val="72190E55"/>
    <w:rsid w:val="748922C2"/>
    <w:rsid w:val="74A013B9"/>
    <w:rsid w:val="7755292F"/>
    <w:rsid w:val="775D77FA"/>
    <w:rsid w:val="78454752"/>
    <w:rsid w:val="7A4078C7"/>
    <w:rsid w:val="7B814DBD"/>
    <w:rsid w:val="7D5611AF"/>
    <w:rsid w:val="7DE44A0D"/>
    <w:rsid w:val="7FC00B62"/>
    <w:rsid w:val="7FD76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FollowedHyperlink"/>
    <w:basedOn w:val="7"/>
    <w:qFormat/>
    <w:uiPriority w:val="0"/>
    <w:rPr>
      <w:color w:val="800080" w:themeColor="followedHyperlink"/>
      <w:u w:val="single"/>
      <w14:textFill>
        <w14:solidFill>
          <w14:schemeClr w14:val="folHlink"/>
        </w14:solidFill>
      </w14:textFill>
    </w:rPr>
  </w:style>
  <w:style w:type="character" w:styleId="9">
    <w:name w:val="Hyperlink"/>
    <w:basedOn w:val="7"/>
    <w:qFormat/>
    <w:uiPriority w:val="0"/>
    <w:rPr>
      <w:color w:val="0000FF" w:themeColor="hyperlink"/>
      <w:u w:val="single"/>
      <w14:textFill>
        <w14:solidFill>
          <w14:schemeClr w14:val="hlink"/>
        </w14:solidFill>
      </w14:textFill>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批注框文本 Char"/>
    <w:basedOn w:val="7"/>
    <w:link w:val="2"/>
    <w:qFormat/>
    <w:uiPriority w:val="0"/>
    <w:rPr>
      <w:kern w:val="2"/>
      <w:sz w:val="18"/>
      <w:szCs w:val="18"/>
    </w:rPr>
  </w:style>
  <w:style w:type="character" w:customStyle="1" w:styleId="13">
    <w:name w:val="ca-42"/>
    <w:basedOn w:val="7"/>
    <w:qFormat/>
    <w:uiPriority w:val="99"/>
  </w:style>
  <w:style w:type="paragraph" w:styleId="14">
    <w:name w:val="List Paragraph"/>
    <w:basedOn w:val="1"/>
    <w:qFormat/>
    <w:uiPriority w:val="99"/>
    <w:pPr>
      <w:ind w:firstLine="420" w:firstLineChars="200"/>
    </w:pPr>
    <w:rPr>
      <w:rFonts w:ascii="Calibri" w:hAnsi="Calibri"/>
      <w:kern w:val="0"/>
      <w:sz w:val="28"/>
      <w:szCs w:val="22"/>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2147</Words>
  <Characters>2285</Characters>
  <Lines>17</Lines>
  <Paragraphs>4</Paragraphs>
  <TotalTime>0</TotalTime>
  <ScaleCrop>false</ScaleCrop>
  <LinksUpToDate>false</LinksUpToDate>
  <CharactersWithSpaces>2297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2024-05-23T01:16:00Z</dcterms:created>
  <dc:creator>Lenovo User</dc:creator>
  <cp:lastModifiedBy>跑跑</cp:lastModifiedBy>
  <cp:lastPrinted>2024-05-23T07:20:00Z</cp:lastPrinted>
  <dcterms:modified xsi:type="dcterms:W3CDTF">2025-04-21T02:30:38Z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9A39158079B249C4877607C56424A0B9</vt:lpwstr>
  </property>
  <property fmtid="{D5CDD505-2E9C-101B-9397-08002B2CF9AE}" pid="4" name="KSOTemplateDocerSaveRecord">
    <vt:lpwstr>eyJoZGlkIjoiMzUwZTk4ZGJiZjM3MzVlODE0N2JkNmY5ZDNhOTNkY2IiLCJ1c2VySWQiOiIyNjA3NTA4OTUifQ==</vt:lpwstr>
  </property>
</Properties>
</file>