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东安县工商业联合会</w:t>
      </w:r>
      <w:r>
        <w:rPr>
          <w:rFonts w:hint="eastAsia" w:ascii="方正小标宋简体" w:eastAsia="方正小标宋简体"/>
          <w:sz w:val="52"/>
          <w:szCs w:val="52"/>
        </w:rPr>
        <w:t>部门（单位）整体支出绩效自评报告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2880" w:firstLineChars="9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>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仿宋_GB2312"/>
          <w:sz w:val="32"/>
          <w:szCs w:val="32"/>
        </w:rPr>
        <w:br w:type="page"/>
      </w:r>
    </w:p>
    <w:p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542" w:firstLineChars="15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部门概况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sz w:val="32"/>
          <w:szCs w:val="32"/>
        </w:rPr>
        <w:t>（一）部门基本情况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9" w:firstLineChars="205"/>
        <w:textAlignment w:val="auto"/>
        <w:outlineLvl w:val="9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、单位机构、人员情况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527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本单位属于正科级单位，编制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人，实有在职干部职工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，无内设股室。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9" w:firstLineChars="205"/>
        <w:textAlignment w:val="auto"/>
        <w:outlineLvl w:val="9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、县工商联的主要职责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6" w:firstLineChars="20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政议政，参与国家事务和经济、社会重大决策的政治协商，发挥民主监督的作用，做好代表性人士政治安排的推荐工作，对国家的有关法律、法规、政策的制订提出建议并协助贯彻执行。发扬自我教育的优良传统，宣传国家的有关方针、政策，加强和改进思想政治工作，对会员进行团结、帮助、引导、教育、提倡爱国、敬业、守法、多奉献，提高会员素质，培养积极分子队伍。维护会员的合法权益，反映会员的意见和要求，在会员与政府之间发挥桥梁作用，当好政府管理非公有制经济的助手。办好会办服务事业、经济实体。进一步加强非公有制经济组织党组织建设，扩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党的</w:t>
      </w:r>
      <w:r>
        <w:rPr>
          <w:rFonts w:hint="eastAsia" w:ascii="仿宋" w:hAnsi="仿宋" w:eastAsia="仿宋" w:cs="仿宋"/>
          <w:sz w:val="32"/>
          <w:szCs w:val="32"/>
        </w:rPr>
        <w:t>覆盖面，充分发挥党组织的战斗堡垒作用和共产党员的先锋模范作用。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803" w:firstLineChars="25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、</w:t>
      </w: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年重点工作计划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6" w:firstLineChars="205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做细做深思想政治工作,积极履行建言献策职能;推进新经济党组织建设，加强民营经济领域党建;助推民营企业培优做强;落实促进民营经济发展“六个一”工作;推动营商环境进一步优化;持续深化法律服务。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（二）整体支出规模和使用方向、内容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270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支出项目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基本支出（万元）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项目支出（万元）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工资福利支出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84.02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商品和服务支出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15.3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  <w:lang w:eastAsia="zh-CN"/>
              </w:rPr>
              <w:t>对个人肯家庭的补助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2.68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合计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" w:firstLineChars="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年支出决算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</w:rPr>
        <w:t>元，财政拨款支出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万元。其中基本支出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万元，具体项目如下：</w:t>
      </w:r>
    </w:p>
    <w:tbl>
      <w:tblPr>
        <w:tblStyle w:val="13"/>
        <w:tblW w:w="5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项目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工资福利支出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商品和服务支出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对个人和家庭补助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其他资本性支出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合 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102</w:t>
            </w:r>
          </w:p>
        </w:tc>
      </w:tr>
    </w:tbl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工资福利支出84.02万元，主要用于人员工资、奖金、津补贴和社保费用等；一般商品服务支出15.3万元，主要用于日常办公开支，对个人肯家庭补助2.68万元，主要用于退休人员的生活补助等。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基本支出用于保障部门正常运转、完成日常工作任务而发生的各项支出，包括用于在职人员基本工资、绩效工资、津贴补贴、社保等人员经费以及办公费、印刷费、水电费、办公设备购置、差旅费等日常公用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年“三公经费”财政拨款支出共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0"/>
          <w:szCs w:val="30"/>
        </w:rPr>
        <w:t>上年决算数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0.62万元，主要为本年度减少不必要的接待活动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，具体情况如下：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a. 因公出国（境）费0支出；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b. 公务用车购置及运行维护费支出0万元，具体是：公务车保有量 0辆，全年运行维护费支出0万元。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C、公务接待费支出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0"/>
          <w:szCs w:val="30"/>
        </w:rPr>
        <w:t>上年决算数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0.62万元，主要为本年度减少不必要的接待活动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项目支出主要是非公党工委工作开支和弥补办公经费不足，确保机构正常运转。其中基本支出中商品和服务支出8万元。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政府性基金预算支出情况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四、国有资本经营预算支出情况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 xml:space="preserve">六、整体支出管理情况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一是保障经费需求。统筹协调部门内部的资金需求和经费分配，通过分清轻重缓急，突出重点，合理保障部门运行及各项财政工作的顺利开展。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二是坚持厉行节约。牢固树立“过紧日子”思想，落实党中央八项规定精神，严控机关运行经费等一般性支出，确保厉行节约落到实处。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三是加强预算执行管理。做好事前审批、事中管理和事后监督工作，不断加快预算执行进度，推动预算执行按照资金计划有序进行。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七、整体支出绩效情况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年，根据年初工作规划和重点性工作，围绕全面建成小康社会的发展蓝图，积极履职，强化管理，较好的完成了年度工作目标。通过加强预算收支管理，不断建立健全内部管理制度，梳理内部管理流程，部门整体支出管理情况得到提升。根据</w:t>
      </w:r>
      <w:r>
        <w:rPr>
          <w:rFonts w:ascii="仿宋" w:hAnsi="仿宋" w:eastAsia="仿宋" w:cs="仿宋"/>
          <w:color w:val="22222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年度部门整体支出状况的概述和分析，</w:t>
      </w:r>
      <w:r>
        <w:rPr>
          <w:rFonts w:ascii="仿宋" w:hAnsi="仿宋" w:eastAsia="仿宋" w:cs="仿宋"/>
          <w:color w:val="22222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部门整体支出绩效情况如下：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（一）经济效益评价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预算执行控制较好。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支出总额控制在预算总额以内，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本年部门预算未进行预算相关事项的调整；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预算完成率达到</w:t>
      </w:r>
      <w:r>
        <w:rPr>
          <w:rFonts w:ascii="仿宋" w:hAnsi="仿宋" w:eastAsia="仿宋" w:cs="仿宋"/>
          <w:color w:val="00000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，预算控制较好，全年无截留或滞留专项资金情况；全年没有新建楼堂馆所。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预算管理较为理想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制度执行总体较为有效，但仍需进一步强化。全年公用经费控制率为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；“三公”经费总体控制较好，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年“三公经费”财政拨款支出共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0.72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上年度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对于单位的政府采购项目，凡单位购买属于政府采购范围内的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货物、工程和服务，严格遵守政府采购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相关法律法规的规定办理相关审批手续，政府采购执行率达到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）资金使用管理逐步加强。单位支出严格按照国家财经法规和财务管理制度规定执行，正确组织资金的筹集、调度和使用，债权债务及时结算、结清。费用开支有标准、有预算，正确核算收入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。所有支出均通过我单位财政直接支付方式办理，资金使用无截留、挤占、挪用、虚列支出等情况。（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）部门预算收支严格按年初部门预算方案执行，部门预决算、“三公”经费预决算按要求及时进行了公开。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1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（二）效率性评价和有效性评价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预算安排的基本支出保障了正常的工作运转，在执行上是严格遵守各项财经纪律的，在资金的使用上也是放心的，严守法律底线、纪律底线、道德底线。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（三）社会公众满意度评价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年，全体干部职工在县委、县政府的正确领导下，积极做好县工商联财务管理工作，保证了财政资金的安全，获得了县财政局预算股和国库股的一致好评。在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年民主测评中，满意度为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、存在的主要问题。</w:t>
      </w:r>
    </w:p>
    <w:p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（一）预算编制的精准性、合理性有待提高，预算执行中存在偏差。</w:t>
      </w:r>
    </w:p>
    <w:p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（二）绩效管理意识薄弱，单位自身缺乏配套的绩效。</w:t>
      </w:r>
    </w:p>
    <w:p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（三）其他业务部门参与程度不高。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、整改措施和有关建议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针对上述存在的问题及整体支出管理工作的需要，拟实施的改进措施如下：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666666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细化预算编制工作，认真做好预算的编制。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预算“二上报二下达”方式，提高预算的合理性和准确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树立全员绩效管理意识，健全绩效管理制度。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各预算单位是具体实施预算绩效管理的责任主体，单位主要负责人应提高思想认识，加强组织领导，统一部署，成立绩效评价工作领导小组，倡导单位内部各业务部门积极参与绩效评价，牢固树立全员绩效管理意识，压实责任，落实到人。各事业单位应及时建立健全与本单位配套的绩效评价流程制度，完善的管理制度能够避免执行结果的偏差，及时矫正不规范行为，明确职责和权限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．强化人才队伍建设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。开展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预算绩效自评工作交流调研工作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，提高财务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人员绩效评价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专业能力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、评价结果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shd w:val="clear" w:color="auto" w:fill="FFFFFF"/>
        </w:rPr>
        <w:t>按照《财政部关于开展行政事业单位内部控制基础性评价工作的通知》要求，依据《行政事业单位内部控制规范（试行）》的有关规定，采用定量分析和定性分析相结合的方法，从预算编制、执行、资金使用、监管以及财务会计信息、项目组织管理、项目绩效完成等方面对专项进行了综合评价，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年度评价得分为9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十一、其他需要说明的情况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napToGrid/>
          <w:spacing w:val="0"/>
          <w:w w:val="100"/>
          <w:kern w:val="2"/>
          <w:position w:val="0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"/>
          <w:position w:val="0"/>
          <w:sz w:val="30"/>
          <w:szCs w:val="30"/>
          <w:u w:val="none"/>
          <w:vertAlign w:val="baseline"/>
          <w:lang w:val="en-US" w:eastAsia="zh-CN" w:bidi="ar-SA"/>
        </w:rPr>
        <w:t>无。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A7831"/>
    <w:multiLevelType w:val="singleLevel"/>
    <w:tmpl w:val="8F1A7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A49EC7"/>
    <w:multiLevelType w:val="singleLevel"/>
    <w:tmpl w:val="71A49E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NmRlMWE4NDAzODg1Y2VhODU4ZDVlNDM1NGIyZDQ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07C53728"/>
    <w:rsid w:val="0C0B54E3"/>
    <w:rsid w:val="129C6B7B"/>
    <w:rsid w:val="19BF7295"/>
    <w:rsid w:val="21EE34C4"/>
    <w:rsid w:val="24907483"/>
    <w:rsid w:val="36397D21"/>
    <w:rsid w:val="39000043"/>
    <w:rsid w:val="41E04973"/>
    <w:rsid w:val="43DC34E1"/>
    <w:rsid w:val="44313112"/>
    <w:rsid w:val="46CF76F8"/>
    <w:rsid w:val="4C531FCD"/>
    <w:rsid w:val="4CC5644D"/>
    <w:rsid w:val="578A0B4E"/>
    <w:rsid w:val="58E53E93"/>
    <w:rsid w:val="62AE5E16"/>
    <w:rsid w:val="74AB414E"/>
    <w:rsid w:val="774F0B38"/>
    <w:rsid w:val="7D6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1">
    <w:name w:val="Hyperlink"/>
    <w:basedOn w:val="8"/>
    <w:qFormat/>
    <w:uiPriority w:val="0"/>
    <w:rPr>
      <w:color w:val="0000FF" w:themeColor="hyperlink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7">
    <w:name w:val="NormalCharacter"/>
    <w:qFormat/>
    <w:uiPriority w:val="0"/>
  </w:style>
  <w:style w:type="paragraph" w:customStyle="1" w:styleId="18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2802</Words>
  <Characters>2914</Characters>
  <Lines>5</Lines>
  <Paragraphs>1</Paragraphs>
  <TotalTime>7</TotalTime>
  <ScaleCrop>false</ScaleCrop>
  <LinksUpToDate>false</LinksUpToDate>
  <CharactersWithSpaces>2933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ldp</cp:lastModifiedBy>
  <cp:lastPrinted>2013-10-09T02:05:00Z</cp:lastPrinted>
  <dcterms:modified xsi:type="dcterms:W3CDTF">2026-01-16T02:44:32Z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9A39158079B249C4877607C56424A0B9</vt:lpwstr>
  </property>
  <property fmtid="{D5CDD505-2E9C-101B-9397-08002B2CF9AE}" pid="4" name="KSOTemplateDocerSaveRecord">
    <vt:lpwstr>eyJoZGlkIjoiYzQ3NmRlMWE4NDAzODg1Y2VhODU4ZDVlNDM1NGIyZDQiLCJ1c2VySWQiOiI2ODQ4NTMxMTgifQ==</vt:lpwstr>
  </property>
</Properties>
</file>