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1330">
      <w:pPr>
        <w:adjustRightInd w:val="0"/>
        <w:spacing w:line="600" w:lineRule="exact"/>
        <w:jc w:val="center"/>
        <w:rPr>
          <w:rFonts w:eastAsia="方正小标宋_GBK"/>
          <w:sz w:val="36"/>
          <w:szCs w:val="36"/>
        </w:rPr>
      </w:pPr>
      <w:bookmarkStart w:id="0" w:name="_GoBack"/>
      <w:bookmarkEnd w:id="0"/>
      <w:r>
        <w:rPr>
          <w:rFonts w:hint="eastAsia" w:eastAsia="方正小标宋_GBK"/>
          <w:sz w:val="36"/>
          <w:szCs w:val="36"/>
        </w:rPr>
        <w:t>2024年度东安县规划执法大队部门整体</w:t>
      </w:r>
      <w:r>
        <w:rPr>
          <w:rFonts w:eastAsia="方正小标宋_GBK"/>
          <w:sz w:val="36"/>
          <w:szCs w:val="36"/>
        </w:rPr>
        <w:t>支出</w:t>
      </w:r>
    </w:p>
    <w:p w14:paraId="771CA135">
      <w:pPr>
        <w:adjustRightInd w:val="0"/>
        <w:spacing w:line="600" w:lineRule="exact"/>
        <w:jc w:val="center"/>
        <w:rPr>
          <w:rFonts w:eastAsia="方正小标宋_GBK"/>
          <w:sz w:val="36"/>
          <w:szCs w:val="36"/>
        </w:rPr>
      </w:pPr>
    </w:p>
    <w:p w14:paraId="371B2985">
      <w:pPr>
        <w:adjustRightInd w:val="0"/>
        <w:spacing w:line="600" w:lineRule="exact"/>
        <w:jc w:val="center"/>
        <w:rPr>
          <w:rFonts w:eastAsia="方正小标宋_GBK"/>
          <w:sz w:val="36"/>
          <w:szCs w:val="36"/>
        </w:rPr>
      </w:pPr>
      <w:r>
        <w:rPr>
          <w:rFonts w:eastAsia="方正小标宋_GBK"/>
          <w:sz w:val="36"/>
          <w:szCs w:val="36"/>
        </w:rPr>
        <w:t>绩效</w:t>
      </w:r>
      <w:r>
        <w:rPr>
          <w:rFonts w:hint="eastAsia" w:eastAsia="方正小标宋_GBK"/>
          <w:sz w:val="36"/>
          <w:szCs w:val="36"/>
        </w:rPr>
        <w:t>评价</w:t>
      </w:r>
      <w:r>
        <w:rPr>
          <w:rFonts w:eastAsia="方正小标宋_GBK"/>
          <w:sz w:val="36"/>
          <w:szCs w:val="36"/>
        </w:rPr>
        <w:t>报告</w:t>
      </w:r>
    </w:p>
    <w:p w14:paraId="6A08244E">
      <w:pPr>
        <w:adjustRightInd w:val="0"/>
        <w:snapToGrid w:val="0"/>
        <w:spacing w:line="520" w:lineRule="exact"/>
        <w:ind w:firstLine="640" w:firstLineChars="200"/>
        <w:jc w:val="left"/>
        <w:rPr>
          <w:rFonts w:ascii="仿宋" w:hAnsi="仿宋" w:eastAsia="仿宋"/>
          <w:sz w:val="32"/>
          <w:szCs w:val="32"/>
        </w:rPr>
      </w:pPr>
    </w:p>
    <w:p w14:paraId="33CF1A46">
      <w:pPr>
        <w:adjustRightInd w:val="0"/>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为了进一步加强财政资金管理，规范财务制度，牢固树立预算绩效理念，强化支出责任，提高财政资金使用效益，我单位根据县财政局关于开展2024年一般公共预算支出绩效评价工作的通知，成立了绩效评价小组，对本单位2024年度的部门预算收支做了全面认真自评自查，自评得分为93.78分。现将我单位2024年部门整体支出绩效评价情况报告如下：</w:t>
      </w:r>
    </w:p>
    <w:p w14:paraId="03157C69">
      <w:pPr>
        <w:adjustRightInd w:val="0"/>
        <w:snapToGrid w:val="0"/>
        <w:spacing w:line="600" w:lineRule="exact"/>
        <w:ind w:firstLine="321" w:firstLineChars="100"/>
        <w:rPr>
          <w:rFonts w:eastAsia="黑体"/>
          <w:b/>
          <w:bCs/>
          <w:sz w:val="32"/>
          <w:szCs w:val="32"/>
        </w:rPr>
      </w:pPr>
      <w:r>
        <w:rPr>
          <w:rFonts w:eastAsia="黑体"/>
          <w:b/>
          <w:bCs/>
          <w:sz w:val="32"/>
          <w:szCs w:val="32"/>
        </w:rPr>
        <w:t>一、</w:t>
      </w:r>
      <w:r>
        <w:rPr>
          <w:rFonts w:hint="eastAsia" w:eastAsia="黑体"/>
          <w:b/>
          <w:bCs/>
          <w:sz w:val="32"/>
          <w:szCs w:val="32"/>
        </w:rPr>
        <w:t>部门</w:t>
      </w:r>
      <w:r>
        <w:rPr>
          <w:rFonts w:eastAsia="黑体"/>
          <w:b/>
          <w:bCs/>
          <w:sz w:val="32"/>
          <w:szCs w:val="32"/>
        </w:rPr>
        <w:t>概况</w:t>
      </w:r>
    </w:p>
    <w:p w14:paraId="48027B88">
      <w:pPr>
        <w:widowControl/>
        <w:shd w:val="clear" w:color="auto" w:fill="FFFFFF"/>
        <w:ind w:firstLine="630"/>
        <w:jc w:val="left"/>
        <w:rPr>
          <w:rFonts w:eastAsia="仿宋_GB2312"/>
          <w:b/>
          <w:bCs/>
          <w:sz w:val="32"/>
          <w:szCs w:val="32"/>
        </w:rPr>
      </w:pPr>
      <w:r>
        <w:rPr>
          <w:rFonts w:eastAsia="仿宋_GB2312"/>
          <w:b/>
          <w:bCs/>
          <w:sz w:val="32"/>
          <w:szCs w:val="32"/>
        </w:rPr>
        <w:t>（一）</w:t>
      </w:r>
      <w:r>
        <w:rPr>
          <w:rFonts w:hint="eastAsia" w:eastAsia="仿宋_GB2312"/>
          <w:b/>
          <w:bCs/>
          <w:sz w:val="32"/>
          <w:szCs w:val="32"/>
        </w:rPr>
        <w:t>部门</w:t>
      </w:r>
      <w:r>
        <w:rPr>
          <w:rFonts w:eastAsia="仿宋_GB2312"/>
          <w:b/>
          <w:bCs/>
          <w:sz w:val="32"/>
          <w:szCs w:val="32"/>
        </w:rPr>
        <w:t>基本情况</w:t>
      </w:r>
    </w:p>
    <w:p w14:paraId="55701C31">
      <w:pPr>
        <w:pStyle w:val="7"/>
        <w:widowControl/>
        <w:shd w:val="clear" w:color="auto" w:fill="FFFFFF"/>
        <w:ind w:firstLine="641"/>
        <w:jc w:val="left"/>
        <w:rPr>
          <w:rFonts w:ascii="宋体" w:hAnsi="宋体" w:cs="宋体"/>
          <w:color w:val="212529"/>
          <w:sz w:val="32"/>
          <w:szCs w:val="32"/>
          <w:shd w:val="clear" w:color="auto" w:fill="FFFFFF"/>
        </w:rPr>
      </w:pPr>
      <w:r>
        <w:rPr>
          <w:rFonts w:ascii="宋体" w:hAnsi="宋体" w:cs="宋体"/>
          <w:color w:val="212529"/>
          <w:sz w:val="32"/>
          <w:szCs w:val="32"/>
          <w:shd w:val="clear" w:color="auto" w:fill="FFFFFF"/>
        </w:rPr>
        <w:t>东安县规划执法大队内设机构包括：本部门共有编制人数1</w:t>
      </w:r>
      <w:r>
        <w:rPr>
          <w:rFonts w:hint="eastAsia" w:ascii="宋体" w:hAnsi="宋体" w:cs="宋体"/>
          <w:color w:val="212529"/>
          <w:sz w:val="32"/>
          <w:szCs w:val="32"/>
          <w:shd w:val="clear" w:color="auto" w:fill="FFFFFF"/>
        </w:rPr>
        <w:t>5</w:t>
      </w:r>
      <w:r>
        <w:rPr>
          <w:rFonts w:ascii="宋体" w:hAnsi="宋体" w:cs="宋体"/>
          <w:color w:val="212529"/>
          <w:sz w:val="32"/>
          <w:szCs w:val="32"/>
          <w:shd w:val="clear" w:color="auto" w:fill="FFFFFF"/>
        </w:rPr>
        <w:t>人，实有人数1</w:t>
      </w:r>
      <w:r>
        <w:rPr>
          <w:rFonts w:hint="eastAsia" w:ascii="宋体" w:hAnsi="宋体" w:cs="宋体"/>
          <w:color w:val="212529"/>
          <w:sz w:val="32"/>
          <w:szCs w:val="32"/>
          <w:shd w:val="clear" w:color="auto" w:fill="FFFFFF"/>
        </w:rPr>
        <w:t>5</w:t>
      </w:r>
      <w:r>
        <w:rPr>
          <w:rFonts w:ascii="宋体" w:hAnsi="宋体" w:cs="宋体"/>
          <w:color w:val="212529"/>
          <w:sz w:val="32"/>
          <w:szCs w:val="32"/>
          <w:shd w:val="clear" w:color="auto" w:fill="FFFFFF"/>
        </w:rPr>
        <w:t>人，内设股室2个分别为：执法室、办公室。</w:t>
      </w:r>
    </w:p>
    <w:p w14:paraId="401F1D0A">
      <w:pPr>
        <w:widowControl/>
        <w:shd w:val="clear" w:color="auto" w:fill="FFFFFF"/>
        <w:ind w:firstLine="630"/>
        <w:jc w:val="left"/>
        <w:rPr>
          <w:rFonts w:ascii="宋体" w:hAnsi="宋体" w:cs="宋体"/>
          <w:b/>
          <w:bCs/>
          <w:color w:val="212529"/>
          <w:kern w:val="0"/>
          <w:sz w:val="32"/>
          <w:szCs w:val="32"/>
          <w:shd w:val="clear" w:color="auto" w:fill="FFFFFF"/>
        </w:rPr>
      </w:pPr>
      <w:r>
        <w:rPr>
          <w:rFonts w:hint="eastAsia" w:ascii="宋体" w:hAnsi="宋体" w:cs="宋体"/>
          <w:b/>
          <w:bCs/>
          <w:color w:val="212529"/>
          <w:kern w:val="0"/>
          <w:sz w:val="32"/>
          <w:szCs w:val="32"/>
          <w:shd w:val="clear" w:color="auto" w:fill="FFFFFF"/>
        </w:rPr>
        <w:t>我单位的主要</w:t>
      </w:r>
      <w:r>
        <w:rPr>
          <w:rFonts w:ascii="宋体" w:hAnsi="宋体" w:cs="宋体"/>
          <w:b/>
          <w:bCs/>
          <w:color w:val="212529"/>
          <w:kern w:val="0"/>
          <w:sz w:val="32"/>
          <w:szCs w:val="32"/>
          <w:shd w:val="clear" w:color="auto" w:fill="FFFFFF"/>
        </w:rPr>
        <w:t>职能职责</w:t>
      </w:r>
      <w:r>
        <w:rPr>
          <w:rFonts w:hint="eastAsia" w:ascii="宋体" w:hAnsi="宋体" w:cs="宋体"/>
          <w:b/>
          <w:bCs/>
          <w:color w:val="212529"/>
          <w:kern w:val="0"/>
          <w:sz w:val="32"/>
          <w:szCs w:val="32"/>
          <w:shd w:val="clear" w:color="auto" w:fill="FFFFFF"/>
        </w:rPr>
        <w:t>是：</w:t>
      </w:r>
    </w:p>
    <w:p w14:paraId="4D962B47">
      <w:pPr>
        <w:widowControl/>
        <w:shd w:val="clear" w:color="auto" w:fill="FFFFFF"/>
        <w:ind w:firstLine="630"/>
        <w:jc w:val="left"/>
        <w:rPr>
          <w:rFonts w:ascii="宋体" w:hAnsi="宋体" w:cs="宋体"/>
          <w:color w:val="212529"/>
          <w:sz w:val="24"/>
        </w:rPr>
      </w:pPr>
      <w:r>
        <w:rPr>
          <w:rFonts w:hint="eastAsia" w:ascii="宋体" w:hAnsi="宋体" w:cs="宋体"/>
          <w:color w:val="212529"/>
          <w:kern w:val="0"/>
          <w:sz w:val="32"/>
          <w:szCs w:val="32"/>
          <w:shd w:val="clear" w:color="auto" w:fill="FFFFFF"/>
        </w:rPr>
        <w:t>1、负责县城规划区范围内规划执法工作。</w:t>
      </w:r>
    </w:p>
    <w:p w14:paraId="34468399">
      <w:pPr>
        <w:widowControl/>
        <w:shd w:val="clear" w:color="auto" w:fill="FFFFFF"/>
        <w:ind w:firstLine="630"/>
        <w:jc w:val="left"/>
        <w:rPr>
          <w:rFonts w:ascii="宋体" w:hAnsi="宋体" w:cs="宋体"/>
          <w:color w:val="212529"/>
          <w:sz w:val="24"/>
        </w:rPr>
      </w:pPr>
      <w:r>
        <w:rPr>
          <w:rFonts w:hint="eastAsia" w:ascii="宋体" w:hAnsi="宋体" w:cs="宋体"/>
          <w:color w:val="212529"/>
          <w:kern w:val="0"/>
          <w:sz w:val="32"/>
          <w:szCs w:val="32"/>
          <w:shd w:val="clear" w:color="auto" w:fill="FFFFFF"/>
        </w:rPr>
        <w:t>2、对县城规划区范围内建设工程的规划实施监督管理。</w:t>
      </w:r>
    </w:p>
    <w:p w14:paraId="57EC1C73">
      <w:pPr>
        <w:widowControl/>
        <w:shd w:val="clear" w:color="auto" w:fill="FFFFFF"/>
        <w:ind w:firstLine="630"/>
        <w:jc w:val="left"/>
        <w:rPr>
          <w:rFonts w:ascii="宋体" w:hAnsi="宋体" w:cs="宋体"/>
          <w:color w:val="212529"/>
          <w:sz w:val="24"/>
        </w:rPr>
      </w:pPr>
      <w:r>
        <w:rPr>
          <w:rFonts w:hint="eastAsia" w:ascii="宋体" w:hAnsi="宋体" w:cs="宋体"/>
          <w:color w:val="212529"/>
          <w:kern w:val="0"/>
          <w:sz w:val="32"/>
          <w:szCs w:val="32"/>
          <w:shd w:val="clear" w:color="auto" w:fill="FFFFFF"/>
        </w:rPr>
        <w:t>3、协调因规划引起的信访和矛盾纠纷调处。</w:t>
      </w:r>
    </w:p>
    <w:p w14:paraId="71F1BF51">
      <w:pPr>
        <w:tabs>
          <w:tab w:val="left" w:pos="1686"/>
        </w:tabs>
        <w:spacing w:line="560" w:lineRule="exact"/>
        <w:jc w:val="left"/>
        <w:rPr>
          <w:rFonts w:eastAsia="仿宋_GB2312"/>
          <w:b/>
          <w:bCs/>
          <w:sz w:val="32"/>
          <w:szCs w:val="32"/>
        </w:rPr>
      </w:pPr>
      <w:r>
        <w:rPr>
          <w:rFonts w:eastAsia="仿宋_GB2312"/>
          <w:b/>
          <w:bCs/>
          <w:sz w:val="32"/>
          <w:szCs w:val="32"/>
        </w:rPr>
        <w:t>（二）</w:t>
      </w:r>
      <w:r>
        <w:rPr>
          <w:rFonts w:hint="eastAsia" w:eastAsia="仿宋_GB2312"/>
          <w:b/>
          <w:bCs/>
          <w:sz w:val="32"/>
          <w:szCs w:val="32"/>
        </w:rPr>
        <w:t>部门整体支出规模、使用方向</w:t>
      </w:r>
      <w:r>
        <w:rPr>
          <w:rFonts w:eastAsia="仿宋_GB2312"/>
          <w:b/>
          <w:bCs/>
          <w:sz w:val="32"/>
          <w:szCs w:val="32"/>
        </w:rPr>
        <w:t>和主要内容、涉及范围等。</w:t>
      </w:r>
    </w:p>
    <w:p w14:paraId="2D2D965D">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2024年部门整体支出财政预算安排一般公共财政拨款资金196.78万元，其中工资福利支出131.67万元、商品和服务支出65.11万元。</w:t>
      </w:r>
    </w:p>
    <w:p w14:paraId="119AA686">
      <w:pPr>
        <w:adjustRightInd w:val="0"/>
        <w:snapToGrid w:val="0"/>
        <w:spacing w:line="600" w:lineRule="exact"/>
        <w:rPr>
          <w:rFonts w:eastAsia="黑体"/>
          <w:b/>
          <w:bCs/>
          <w:sz w:val="32"/>
          <w:szCs w:val="32"/>
        </w:rPr>
      </w:pPr>
      <w:r>
        <w:rPr>
          <w:rFonts w:hint="eastAsia" w:eastAsia="黑体"/>
          <w:sz w:val="32"/>
          <w:szCs w:val="32"/>
        </w:rPr>
        <w:t>　</w:t>
      </w:r>
      <w:r>
        <w:rPr>
          <w:rFonts w:hint="eastAsia" w:eastAsia="黑体"/>
          <w:b/>
          <w:bCs/>
          <w:sz w:val="32"/>
          <w:szCs w:val="32"/>
        </w:rPr>
        <w:t>　</w:t>
      </w:r>
      <w:r>
        <w:rPr>
          <w:rFonts w:eastAsia="黑体"/>
          <w:b/>
          <w:bCs/>
          <w:sz w:val="32"/>
          <w:szCs w:val="32"/>
        </w:rPr>
        <w:t>二、</w:t>
      </w:r>
      <w:r>
        <w:rPr>
          <w:rFonts w:hint="eastAsia" w:eastAsia="黑体"/>
          <w:b/>
          <w:bCs/>
          <w:sz w:val="32"/>
          <w:szCs w:val="32"/>
        </w:rPr>
        <w:t>部门整体支出</w:t>
      </w:r>
      <w:r>
        <w:rPr>
          <w:rFonts w:eastAsia="黑体"/>
          <w:b/>
          <w:bCs/>
          <w:sz w:val="32"/>
          <w:szCs w:val="32"/>
        </w:rPr>
        <w:t>使用情况</w:t>
      </w:r>
    </w:p>
    <w:p w14:paraId="739432D1">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（一）基本支出</w:t>
      </w:r>
    </w:p>
    <w:p w14:paraId="0109EA83">
      <w:pPr>
        <w:spacing w:line="520" w:lineRule="exact"/>
        <w:ind w:left="640"/>
        <w:rPr>
          <w:rFonts w:ascii="仿宋" w:hAnsi="仿宋" w:eastAsia="仿宋"/>
          <w:sz w:val="32"/>
          <w:szCs w:val="32"/>
        </w:rPr>
      </w:pPr>
      <w:r>
        <w:rPr>
          <w:rFonts w:hint="eastAsia" w:ascii="仿宋" w:hAnsi="仿宋" w:eastAsia="仿宋"/>
          <w:sz w:val="32"/>
          <w:szCs w:val="32"/>
        </w:rPr>
        <w:t>1、收入情况</w:t>
      </w:r>
    </w:p>
    <w:p w14:paraId="46B94548">
      <w:pPr>
        <w:spacing w:line="520" w:lineRule="exact"/>
        <w:ind w:firstLine="640" w:firstLineChars="200"/>
        <w:rPr>
          <w:rFonts w:ascii="仿宋" w:hAnsi="仿宋" w:eastAsia="仿宋"/>
          <w:sz w:val="32"/>
          <w:szCs w:val="32"/>
        </w:rPr>
      </w:pPr>
      <w:r>
        <w:rPr>
          <w:rFonts w:hint="eastAsia" w:ascii="仿宋" w:hAnsi="仿宋" w:eastAsia="仿宋"/>
          <w:sz w:val="32"/>
          <w:szCs w:val="32"/>
        </w:rPr>
        <w:t>2024年财政安排预算资金196.78万元。年终没有追加经费预算。</w:t>
      </w:r>
    </w:p>
    <w:p w14:paraId="3C5D8E35">
      <w:pPr>
        <w:spacing w:line="520" w:lineRule="exact"/>
        <w:ind w:left="640"/>
        <w:rPr>
          <w:rFonts w:ascii="仿宋" w:hAnsi="仿宋" w:eastAsia="仿宋"/>
          <w:sz w:val="32"/>
          <w:szCs w:val="32"/>
        </w:rPr>
      </w:pPr>
      <w:r>
        <w:rPr>
          <w:rFonts w:hint="eastAsia" w:ascii="仿宋" w:hAnsi="仿宋" w:eastAsia="仿宋"/>
          <w:sz w:val="32"/>
          <w:szCs w:val="32"/>
        </w:rPr>
        <w:t>2、支出情况</w:t>
      </w:r>
    </w:p>
    <w:p w14:paraId="64DF06C1">
      <w:pPr>
        <w:spacing w:line="520" w:lineRule="exact"/>
        <w:ind w:firstLine="640" w:firstLineChars="200"/>
        <w:rPr>
          <w:rFonts w:ascii="仿宋" w:hAnsi="仿宋" w:eastAsia="仿宋"/>
          <w:sz w:val="32"/>
          <w:szCs w:val="32"/>
        </w:rPr>
      </w:pPr>
      <w:r>
        <w:rPr>
          <w:rFonts w:hint="eastAsia" w:ascii="仿宋" w:hAnsi="仿宋" w:eastAsia="仿宋"/>
          <w:sz w:val="32"/>
          <w:szCs w:val="32"/>
        </w:rPr>
        <w:t>本单位2024年决算支出196.78万元，较好的完成了全年预算收支计划，做到了收支平衡。其中：财政拨款基本支出196.78万元，其中人员经费支出131.67万元，日常公用经费支出65.11万元。</w:t>
      </w:r>
    </w:p>
    <w:p w14:paraId="54D328DD">
      <w:pPr>
        <w:spacing w:line="520" w:lineRule="exact"/>
        <w:ind w:firstLine="640" w:firstLineChars="200"/>
        <w:rPr>
          <w:rFonts w:ascii="仿宋" w:hAnsi="仿宋" w:eastAsia="仿宋"/>
          <w:sz w:val="32"/>
          <w:szCs w:val="32"/>
        </w:rPr>
      </w:pPr>
      <w:r>
        <w:rPr>
          <w:rFonts w:hint="eastAsia" w:ascii="仿宋" w:hAnsi="仿宋" w:eastAsia="仿宋"/>
          <w:sz w:val="32"/>
          <w:szCs w:val="32"/>
        </w:rPr>
        <w:t>3、“三公经费”支出情况说明</w:t>
      </w:r>
    </w:p>
    <w:p w14:paraId="6B1D4D1F">
      <w:pPr>
        <w:spacing w:line="520" w:lineRule="exact"/>
        <w:ind w:firstLine="640" w:firstLineChars="200"/>
        <w:rPr>
          <w:rFonts w:ascii="仿宋" w:hAnsi="仿宋" w:eastAsia="仿宋"/>
          <w:sz w:val="32"/>
          <w:szCs w:val="32"/>
        </w:rPr>
      </w:pPr>
      <w:r>
        <w:rPr>
          <w:rFonts w:hint="eastAsia" w:ascii="仿宋" w:hAnsi="仿宋" w:eastAsia="仿宋"/>
          <w:sz w:val="32"/>
          <w:szCs w:val="32"/>
        </w:rPr>
        <w:t>2024年我单位“三公经费”财政预算拨款支出共0万元，具体情况如下：</w:t>
      </w:r>
    </w:p>
    <w:p w14:paraId="2ED4D007">
      <w:pPr>
        <w:spacing w:line="520" w:lineRule="exact"/>
        <w:ind w:firstLine="640" w:firstLineChars="200"/>
        <w:rPr>
          <w:rFonts w:ascii="仿宋" w:hAnsi="仿宋" w:eastAsia="仿宋"/>
          <w:sz w:val="32"/>
          <w:szCs w:val="32"/>
        </w:rPr>
      </w:pPr>
      <w:r>
        <w:rPr>
          <w:rFonts w:hint="eastAsia" w:ascii="仿宋" w:hAnsi="仿宋" w:eastAsia="仿宋"/>
          <w:sz w:val="32"/>
          <w:szCs w:val="32"/>
        </w:rPr>
        <w:t>（1）因公出国（境）费无支出，</w:t>
      </w:r>
    </w:p>
    <w:p w14:paraId="123D8852">
      <w:pPr>
        <w:spacing w:line="520" w:lineRule="exact"/>
        <w:ind w:firstLine="640" w:firstLineChars="200"/>
        <w:rPr>
          <w:rFonts w:ascii="仿宋" w:hAnsi="仿宋" w:eastAsia="仿宋"/>
          <w:sz w:val="32"/>
          <w:szCs w:val="32"/>
        </w:rPr>
      </w:pPr>
      <w:r>
        <w:rPr>
          <w:rFonts w:hint="eastAsia" w:ascii="仿宋" w:hAnsi="仿宋" w:eastAsia="仿宋"/>
          <w:sz w:val="32"/>
          <w:szCs w:val="32"/>
        </w:rPr>
        <w:t>（2）公务用车及运行维护费决算支出0万元，</w:t>
      </w:r>
    </w:p>
    <w:p w14:paraId="7518B2CF">
      <w:pPr>
        <w:spacing w:line="520" w:lineRule="exact"/>
        <w:ind w:firstLine="640" w:firstLineChars="200"/>
        <w:rPr>
          <w:rFonts w:ascii="仿宋" w:hAnsi="仿宋" w:eastAsia="仿宋"/>
          <w:sz w:val="32"/>
          <w:szCs w:val="32"/>
        </w:rPr>
      </w:pPr>
      <w:r>
        <w:rPr>
          <w:rFonts w:hint="eastAsia" w:ascii="仿宋" w:hAnsi="仿宋" w:eastAsia="仿宋"/>
          <w:sz w:val="32"/>
          <w:szCs w:val="32"/>
        </w:rPr>
        <w:t>（3）公务接待决算支出为0万元，属节约开支。主要用于招待市、县领导来我单位指导工作，乡镇来我单位洽谈业务以及召开各种会议支出。</w:t>
      </w:r>
    </w:p>
    <w:p w14:paraId="49230535">
      <w:pPr>
        <w:adjustRightInd w:val="0"/>
        <w:snapToGrid w:val="0"/>
        <w:spacing w:line="520" w:lineRule="exact"/>
        <w:ind w:firstLine="643" w:firstLineChars="200"/>
        <w:rPr>
          <w:rFonts w:ascii="楷体_GB2312" w:eastAsia="楷体_GB2312"/>
          <w:b/>
          <w:sz w:val="32"/>
          <w:szCs w:val="32"/>
        </w:rPr>
      </w:pPr>
      <w:r>
        <w:rPr>
          <w:rFonts w:hint="eastAsia" w:ascii="楷体_GB2312" w:eastAsia="楷体_GB2312"/>
          <w:b/>
          <w:sz w:val="32"/>
          <w:szCs w:val="32"/>
        </w:rPr>
        <w:t>（二）项目支出</w:t>
      </w:r>
    </w:p>
    <w:p w14:paraId="7B0E3407">
      <w:pPr>
        <w:spacing w:line="520" w:lineRule="exact"/>
        <w:ind w:left="640"/>
        <w:rPr>
          <w:rFonts w:ascii="仿宋" w:hAnsi="仿宋" w:eastAsia="仿宋"/>
          <w:sz w:val="32"/>
          <w:szCs w:val="32"/>
        </w:rPr>
      </w:pPr>
      <w:r>
        <w:rPr>
          <w:rFonts w:hint="eastAsia" w:ascii="仿宋" w:hAnsi="仿宋" w:eastAsia="仿宋"/>
          <w:sz w:val="32"/>
          <w:szCs w:val="32"/>
        </w:rPr>
        <w:t>1、收入情况</w:t>
      </w:r>
    </w:p>
    <w:p w14:paraId="55DCE20A">
      <w:pPr>
        <w:spacing w:line="520" w:lineRule="exact"/>
        <w:ind w:firstLine="640" w:firstLineChars="200"/>
        <w:rPr>
          <w:rFonts w:ascii="仿宋" w:hAnsi="仿宋" w:eastAsia="仿宋"/>
          <w:sz w:val="32"/>
          <w:szCs w:val="32"/>
        </w:rPr>
      </w:pPr>
      <w:r>
        <w:rPr>
          <w:rFonts w:hint="eastAsia" w:ascii="仿宋" w:hAnsi="仿宋" w:eastAsia="仿宋"/>
          <w:sz w:val="32"/>
          <w:szCs w:val="32"/>
        </w:rPr>
        <w:t>2024年财政安排预算项目资金50万元。年终没有追加经费预算。</w:t>
      </w:r>
    </w:p>
    <w:p w14:paraId="59850B93">
      <w:pPr>
        <w:spacing w:line="520" w:lineRule="exact"/>
        <w:ind w:left="640"/>
        <w:rPr>
          <w:rFonts w:ascii="仿宋" w:hAnsi="仿宋" w:eastAsia="仿宋"/>
          <w:sz w:val="32"/>
          <w:szCs w:val="32"/>
        </w:rPr>
      </w:pPr>
      <w:r>
        <w:rPr>
          <w:rFonts w:hint="eastAsia" w:ascii="仿宋" w:hAnsi="仿宋" w:eastAsia="仿宋"/>
          <w:sz w:val="32"/>
          <w:szCs w:val="32"/>
        </w:rPr>
        <w:t>2、支出情况</w:t>
      </w:r>
    </w:p>
    <w:p w14:paraId="7203D3C3">
      <w:pPr>
        <w:spacing w:line="520" w:lineRule="exact"/>
        <w:ind w:firstLine="640" w:firstLineChars="200"/>
        <w:rPr>
          <w:rFonts w:ascii="仿宋" w:hAnsi="仿宋" w:eastAsia="仿宋"/>
          <w:sz w:val="32"/>
          <w:szCs w:val="32"/>
        </w:rPr>
      </w:pPr>
      <w:r>
        <w:rPr>
          <w:rFonts w:hint="eastAsia" w:ascii="仿宋" w:hAnsi="仿宋" w:eastAsia="仿宋"/>
          <w:sz w:val="32"/>
          <w:szCs w:val="32"/>
        </w:rPr>
        <w:t>本单位2024年决算支出50万元，较好的完成了全年预算收支计划，做到了收支平衡。其中：财政拨款项目支出50万元，其中人员经费支出0万元，日常公用经费支出50万元。</w:t>
      </w:r>
    </w:p>
    <w:p w14:paraId="2D75F6D1">
      <w:pPr>
        <w:pStyle w:val="15"/>
        <w:spacing w:line="460" w:lineRule="exact"/>
        <w:ind w:firstLine="640"/>
        <w:rPr>
          <w:rFonts w:eastAsia="仿宋_GB2312"/>
          <w:color w:val="000000"/>
          <w:sz w:val="32"/>
          <w:szCs w:val="32"/>
        </w:rPr>
      </w:pPr>
      <w:r>
        <w:rPr>
          <w:rFonts w:eastAsia="黑体"/>
          <w:sz w:val="32"/>
          <w:szCs w:val="32"/>
        </w:rPr>
        <w:t>三、政府性基金预算支出情况</w:t>
      </w:r>
      <w:r>
        <w:rPr>
          <w:rFonts w:hint="eastAsia" w:eastAsia="黑体"/>
          <w:sz w:val="32"/>
          <w:szCs w:val="32"/>
        </w:rPr>
        <w:t>。</w:t>
      </w:r>
    </w:p>
    <w:p w14:paraId="243FC08A">
      <w:pPr>
        <w:pStyle w:val="15"/>
        <w:spacing w:line="460" w:lineRule="exact"/>
        <w:ind w:firstLine="640"/>
        <w:rPr>
          <w:rFonts w:eastAsia="仿宋_GB2312"/>
          <w:color w:val="000000"/>
          <w:sz w:val="32"/>
          <w:szCs w:val="32"/>
        </w:rPr>
      </w:pPr>
      <w:r>
        <w:rPr>
          <w:rFonts w:hint="eastAsia" w:eastAsia="仿宋_GB2312"/>
          <w:color w:val="000000"/>
          <w:sz w:val="32"/>
          <w:szCs w:val="32"/>
        </w:rPr>
        <w:t>2024年度我单位无政府性基金预算支出情况</w:t>
      </w:r>
    </w:p>
    <w:p w14:paraId="0F12557D">
      <w:pPr>
        <w:pStyle w:val="15"/>
        <w:spacing w:line="460" w:lineRule="exact"/>
        <w:ind w:firstLine="640"/>
        <w:rPr>
          <w:rFonts w:eastAsia="黑体"/>
          <w:sz w:val="32"/>
          <w:szCs w:val="32"/>
        </w:rPr>
      </w:pPr>
      <w:r>
        <w:rPr>
          <w:rFonts w:eastAsia="黑体"/>
          <w:sz w:val="32"/>
          <w:szCs w:val="32"/>
        </w:rPr>
        <w:t>四、国有资本经营预算支出情况</w:t>
      </w:r>
      <w:r>
        <w:rPr>
          <w:rFonts w:hint="eastAsia" w:eastAsia="黑体"/>
          <w:sz w:val="32"/>
          <w:szCs w:val="32"/>
        </w:rPr>
        <w:t>。</w:t>
      </w:r>
    </w:p>
    <w:p w14:paraId="6874C771">
      <w:pPr>
        <w:pStyle w:val="15"/>
        <w:spacing w:line="460" w:lineRule="exact"/>
        <w:ind w:firstLine="640"/>
        <w:rPr>
          <w:rFonts w:eastAsia="黑体"/>
          <w:sz w:val="32"/>
          <w:szCs w:val="32"/>
        </w:rPr>
      </w:pPr>
      <w:r>
        <w:rPr>
          <w:rFonts w:hint="eastAsia" w:eastAsia="仿宋_GB2312"/>
          <w:color w:val="000000"/>
          <w:sz w:val="32"/>
          <w:szCs w:val="32"/>
        </w:rPr>
        <w:t>2024年度我单位无国有资本经营预算支出情况</w:t>
      </w:r>
    </w:p>
    <w:p w14:paraId="3C1C6BAE">
      <w:pPr>
        <w:pStyle w:val="15"/>
        <w:spacing w:line="460" w:lineRule="exact"/>
        <w:ind w:firstLine="640"/>
        <w:rPr>
          <w:rFonts w:eastAsia="仿宋_GB2312"/>
          <w:color w:val="000000"/>
          <w:sz w:val="32"/>
          <w:szCs w:val="32"/>
        </w:rPr>
      </w:pPr>
      <w:r>
        <w:rPr>
          <w:rFonts w:eastAsia="黑体"/>
          <w:sz w:val="32"/>
          <w:szCs w:val="32"/>
        </w:rPr>
        <w:t>五、社会保险基金预算支出情况</w:t>
      </w:r>
      <w:r>
        <w:rPr>
          <w:rFonts w:hint="eastAsia" w:eastAsia="黑体"/>
          <w:sz w:val="32"/>
          <w:szCs w:val="32"/>
        </w:rPr>
        <w:t>。</w:t>
      </w:r>
    </w:p>
    <w:p w14:paraId="62EC4519">
      <w:pPr>
        <w:pStyle w:val="15"/>
        <w:spacing w:line="460" w:lineRule="exact"/>
        <w:ind w:firstLine="640"/>
        <w:rPr>
          <w:rFonts w:eastAsia="黑体"/>
          <w:sz w:val="32"/>
          <w:szCs w:val="32"/>
        </w:rPr>
      </w:pPr>
      <w:r>
        <w:rPr>
          <w:rFonts w:hint="eastAsia" w:eastAsia="仿宋_GB2312"/>
          <w:color w:val="000000"/>
          <w:sz w:val="32"/>
          <w:szCs w:val="32"/>
        </w:rPr>
        <w:t>2024年度我单位无社会保险基金预算支出情况</w:t>
      </w:r>
    </w:p>
    <w:p w14:paraId="3BA2149C">
      <w:pPr>
        <w:adjustRightInd w:val="0"/>
        <w:snapToGrid w:val="0"/>
        <w:spacing w:line="600" w:lineRule="exact"/>
        <w:ind w:firstLine="643" w:firstLineChars="200"/>
        <w:rPr>
          <w:rFonts w:eastAsia="黑体"/>
          <w:b/>
          <w:bCs/>
          <w:sz w:val="32"/>
          <w:szCs w:val="32"/>
        </w:rPr>
      </w:pPr>
      <w:r>
        <w:rPr>
          <w:rFonts w:hint="eastAsia" w:eastAsia="黑体"/>
          <w:b/>
          <w:bCs/>
          <w:sz w:val="32"/>
          <w:szCs w:val="32"/>
        </w:rPr>
        <w:t>六</w:t>
      </w:r>
      <w:r>
        <w:rPr>
          <w:rFonts w:eastAsia="黑体"/>
          <w:b/>
          <w:bCs/>
          <w:sz w:val="32"/>
          <w:szCs w:val="32"/>
        </w:rPr>
        <w:t>、</w:t>
      </w:r>
      <w:r>
        <w:rPr>
          <w:rFonts w:hint="eastAsia" w:eastAsia="黑体"/>
          <w:b/>
          <w:bCs/>
          <w:sz w:val="32"/>
          <w:szCs w:val="32"/>
        </w:rPr>
        <w:t>部门整体支出</w:t>
      </w:r>
      <w:r>
        <w:rPr>
          <w:rFonts w:eastAsia="黑体"/>
          <w:b/>
          <w:bCs/>
          <w:sz w:val="32"/>
          <w:szCs w:val="32"/>
        </w:rPr>
        <w:t>绩效情况</w:t>
      </w:r>
    </w:p>
    <w:p w14:paraId="328F86EF">
      <w:pPr>
        <w:spacing w:line="520" w:lineRule="exact"/>
        <w:ind w:firstLine="640" w:firstLineChars="200"/>
        <w:rPr>
          <w:rFonts w:ascii="仿宋" w:hAnsi="仿宋" w:eastAsia="仿宋"/>
          <w:sz w:val="32"/>
          <w:szCs w:val="32"/>
        </w:rPr>
      </w:pPr>
      <w:r>
        <w:rPr>
          <w:rFonts w:hint="eastAsia" w:ascii="仿宋" w:hAnsi="仿宋" w:eastAsia="仿宋"/>
          <w:sz w:val="32"/>
          <w:szCs w:val="32"/>
        </w:rPr>
        <w:t>我单位严格按照本单位制定的内部控制制度办事，坚持节约为主，力争收支平衡。资金支付依据充分，材料完整，开支范围、开支标准合法合规，无虚报冒领、挤占挪用改变资金用途、扩大支出范围等违法违规问题。</w:t>
      </w:r>
    </w:p>
    <w:p w14:paraId="650837CF">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财政资金实行国库集中支付，资金使用完全接受财政监督，同时按上级要求积极配合驻本单位纪检组人员对本单位财务收支进行了自查自纠，在财政及上级财务检查中没有发现相关违纪违规问题。2024年部门整体支出情况良好，从预算到执行和收入、支出资产管理及信息公开都严格按相关制度要求进行，较好的完成了2024年度全年预算收支计划，实现了全年收支平衡，有效保证了机构运转，圆满完成了上级下达的目标任务，取得了较好的社会效益。今后将继续坚持厉行节约的原则统筹按排使用财政预算资金，将单位有限的人力资源得到更好的利用。</w:t>
      </w:r>
    </w:p>
    <w:p w14:paraId="135A3C11">
      <w:pPr>
        <w:adjustRightInd w:val="0"/>
        <w:snapToGrid w:val="0"/>
        <w:spacing w:line="600" w:lineRule="exact"/>
        <w:ind w:firstLine="643" w:firstLineChars="200"/>
        <w:rPr>
          <w:rFonts w:ascii="黑体" w:eastAsia="黑体"/>
          <w:b/>
          <w:bCs/>
          <w:sz w:val="32"/>
          <w:szCs w:val="32"/>
        </w:rPr>
      </w:pPr>
      <w:r>
        <w:rPr>
          <w:rFonts w:hint="eastAsia" w:ascii="黑体" w:eastAsia="黑体"/>
          <w:b/>
          <w:bCs/>
          <w:sz w:val="32"/>
          <w:szCs w:val="32"/>
        </w:rPr>
        <w:t>七、存在的主要问题</w:t>
      </w:r>
    </w:p>
    <w:p w14:paraId="6FC7F0B1">
      <w:pPr>
        <w:adjustRightInd w:val="0"/>
        <w:snapToGrid w:val="0"/>
        <w:spacing w:line="600" w:lineRule="exact"/>
        <w:ind w:left="420" w:leftChars="200"/>
        <w:rPr>
          <w:rFonts w:asciiTheme="majorEastAsia" w:hAnsiTheme="majorEastAsia" w:eastAsiaTheme="majorEastAsia"/>
          <w:sz w:val="28"/>
          <w:szCs w:val="28"/>
        </w:rPr>
      </w:pPr>
      <w:r>
        <w:rPr>
          <w:rFonts w:hint="eastAsia" w:asciiTheme="majorEastAsia" w:hAnsiTheme="majorEastAsia" w:eastAsiaTheme="majorEastAsia"/>
          <w:sz w:val="28"/>
          <w:szCs w:val="28"/>
        </w:rPr>
        <w:t>1、因执法人手案件查处拖延或不力，没有及时处置和汇报。</w:t>
      </w:r>
    </w:p>
    <w:p w14:paraId="6A82AA32">
      <w:pPr>
        <w:adjustRightInd w:val="0"/>
        <w:snapToGrid w:val="0"/>
        <w:spacing w:line="6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2、部分执法监管不够，存在通过审批或同类处置以罚代管的现象。</w:t>
      </w:r>
    </w:p>
    <w:p w14:paraId="7E1B4B5F">
      <w:pPr>
        <w:adjustRightInd w:val="0"/>
        <w:snapToGrid w:val="0"/>
        <w:spacing w:line="6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3、规划执法法律法规宣传不到位，宣传发动力度不够。</w:t>
      </w:r>
    </w:p>
    <w:p w14:paraId="165B6121">
      <w:pPr>
        <w:adjustRightInd w:val="0"/>
        <w:snapToGrid w:val="0"/>
        <w:spacing w:line="6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4、工作积极性有所怠慢，欠缺主动作为，存在等待执法。</w:t>
      </w:r>
    </w:p>
    <w:p w14:paraId="6C291C5C">
      <w:pPr>
        <w:adjustRightInd w:val="0"/>
        <w:snapToGrid w:val="0"/>
        <w:spacing w:line="600" w:lineRule="exact"/>
        <w:ind w:firstLine="643" w:firstLineChars="200"/>
        <w:rPr>
          <w:rFonts w:eastAsia="黑体"/>
          <w:b/>
          <w:bCs/>
          <w:sz w:val="32"/>
          <w:szCs w:val="32"/>
        </w:rPr>
      </w:pPr>
      <w:r>
        <w:rPr>
          <w:rFonts w:hint="eastAsia" w:eastAsia="黑体"/>
          <w:b/>
          <w:bCs/>
          <w:sz w:val="32"/>
          <w:szCs w:val="32"/>
        </w:rPr>
        <w:t>八</w:t>
      </w:r>
      <w:r>
        <w:rPr>
          <w:rFonts w:eastAsia="黑体"/>
          <w:b/>
          <w:bCs/>
          <w:sz w:val="32"/>
          <w:szCs w:val="32"/>
        </w:rPr>
        <w:t>、</w:t>
      </w:r>
      <w:r>
        <w:rPr>
          <w:rFonts w:hint="eastAsia" w:eastAsia="黑体"/>
          <w:b/>
          <w:bCs/>
          <w:sz w:val="32"/>
          <w:szCs w:val="32"/>
        </w:rPr>
        <w:t>改进措施和有关建议</w:t>
      </w:r>
    </w:p>
    <w:p w14:paraId="6337AB4C">
      <w:pPr>
        <w:spacing w:line="520" w:lineRule="exact"/>
        <w:ind w:firstLine="640" w:firstLineChars="200"/>
        <w:rPr>
          <w:rFonts w:ascii="仿宋" w:hAnsi="仿宋" w:eastAsia="仿宋"/>
          <w:sz w:val="32"/>
          <w:szCs w:val="32"/>
        </w:rPr>
      </w:pPr>
      <w:r>
        <w:rPr>
          <w:rFonts w:hint="eastAsia" w:ascii="仿宋" w:hAnsi="仿宋" w:eastAsia="仿宋"/>
          <w:sz w:val="32"/>
          <w:szCs w:val="32"/>
        </w:rPr>
        <w:t>在下年度工作中，我单位将进一步健全和完善财务管理和内部控制制度，用新思想、新办法改进和完善财务收支管理办法、按照财政支出绩效管理的要求，不断提高财政资金使用管理水平和效率。做好年初预算和年终决算工作，及时公开相关信息，严把支出关，做到收支平衡，把本单位工作做的更加完善、更好。</w:t>
      </w:r>
    </w:p>
    <w:p w14:paraId="30482903">
      <w:pPr>
        <w:spacing w:line="520" w:lineRule="exact"/>
        <w:ind w:firstLine="640" w:firstLineChars="200"/>
        <w:rPr>
          <w:rFonts w:ascii="仿宋" w:hAnsi="仿宋" w:eastAsia="仿宋"/>
          <w:sz w:val="32"/>
          <w:szCs w:val="32"/>
        </w:rPr>
      </w:pPr>
      <w:r>
        <w:rPr>
          <w:rFonts w:hint="eastAsia" w:ascii="仿宋" w:hAnsi="仿宋" w:eastAsia="仿宋"/>
          <w:sz w:val="32"/>
          <w:szCs w:val="32"/>
        </w:rPr>
        <w:t>1、科学合理编制预算、严格执行预算。按照新《预算法》及其实施条例的相关规定本部门本年度预算草案、执行预算中确需调整预算的，按规定程序报经批准。</w:t>
      </w:r>
    </w:p>
    <w:p w14:paraId="597EB5D7">
      <w:pPr>
        <w:spacing w:line="520" w:lineRule="exact"/>
        <w:ind w:firstLine="640" w:firstLineChars="200"/>
        <w:rPr>
          <w:rFonts w:ascii="仿宋" w:hAnsi="仿宋" w:eastAsia="仿宋"/>
          <w:sz w:val="32"/>
          <w:szCs w:val="32"/>
        </w:rPr>
      </w:pPr>
      <w:r>
        <w:rPr>
          <w:rFonts w:hint="eastAsia" w:ascii="仿宋" w:hAnsi="仿宋" w:eastAsia="仿宋"/>
          <w:sz w:val="32"/>
          <w:szCs w:val="32"/>
        </w:rPr>
        <w:t>2、完善绩效评价体系，加强监督检查和考核工作。加强对绩效管理工作的跟踪督查，做到绩效管理有依据，按程序，有奖惩，实现绩效管理的规范化、常态化。</w:t>
      </w:r>
    </w:p>
    <w:p w14:paraId="1EE1003F">
      <w:pPr>
        <w:spacing w:line="520" w:lineRule="exact"/>
        <w:ind w:firstLine="640" w:firstLineChars="200"/>
        <w:rPr>
          <w:rFonts w:ascii="仿宋" w:hAnsi="仿宋" w:eastAsia="仿宋"/>
          <w:sz w:val="32"/>
          <w:szCs w:val="32"/>
        </w:rPr>
      </w:pPr>
      <w:r>
        <w:rPr>
          <w:rFonts w:hint="eastAsia" w:ascii="仿宋" w:hAnsi="仿宋" w:eastAsia="仿宋"/>
          <w:sz w:val="32"/>
          <w:szCs w:val="32"/>
        </w:rPr>
        <w:t>3、争取财政支持，改善办公条件。</w:t>
      </w:r>
    </w:p>
    <w:p w14:paraId="5BEDA53E">
      <w:pPr>
        <w:spacing w:line="520" w:lineRule="exact"/>
        <w:ind w:firstLine="640" w:firstLineChars="200"/>
        <w:rPr>
          <w:rFonts w:ascii="仿宋" w:hAnsi="仿宋" w:eastAsia="仿宋"/>
          <w:sz w:val="32"/>
          <w:szCs w:val="32"/>
        </w:rPr>
      </w:pPr>
      <w:r>
        <w:rPr>
          <w:rFonts w:hint="eastAsia" w:ascii="仿宋" w:hAnsi="仿宋" w:eastAsia="仿宋"/>
          <w:sz w:val="32"/>
          <w:szCs w:val="32"/>
        </w:rPr>
        <w:t>4、争取领导重视，招收新的人员，加强队伍建设，加强业务培训，提升业务素质，提高业务水平。</w:t>
      </w:r>
    </w:p>
    <w:p w14:paraId="7C6530B1">
      <w:pPr>
        <w:pStyle w:val="15"/>
        <w:numPr>
          <w:ilvl w:val="0"/>
          <w:numId w:val="1"/>
        </w:numPr>
        <w:adjustRightInd w:val="0"/>
        <w:snapToGrid w:val="0"/>
        <w:spacing w:line="520" w:lineRule="exact"/>
        <w:ind w:firstLineChars="0"/>
        <w:rPr>
          <w:rFonts w:ascii="黑体" w:eastAsia="黑体"/>
          <w:b/>
          <w:bCs/>
          <w:sz w:val="32"/>
          <w:szCs w:val="32"/>
        </w:rPr>
      </w:pPr>
      <w:r>
        <w:rPr>
          <w:rFonts w:hint="eastAsia" w:ascii="黑体" w:eastAsia="黑体"/>
          <w:b/>
          <w:bCs/>
          <w:sz w:val="32"/>
          <w:szCs w:val="32"/>
        </w:rPr>
        <w:t>结合《部门整体支出绩效评价指标表》（见附件）的评价结果</w:t>
      </w:r>
    </w:p>
    <w:p w14:paraId="2DA9D50D">
      <w:pPr>
        <w:spacing w:line="520" w:lineRule="exact"/>
        <w:ind w:firstLine="640" w:firstLineChars="200"/>
        <w:rPr>
          <w:rFonts w:ascii="黑体" w:eastAsia="黑体"/>
          <w:sz w:val="32"/>
          <w:szCs w:val="32"/>
        </w:rPr>
      </w:pPr>
      <w:r>
        <w:rPr>
          <w:rFonts w:hint="eastAsia" w:ascii="仿宋" w:hAnsi="仿宋" w:eastAsia="仿宋"/>
          <w:sz w:val="32"/>
          <w:szCs w:val="32"/>
        </w:rPr>
        <w:t>我单位2024年部门整体支出情况良好，从预算编制到执行和收入、支出、单位资产管理都严格按相关制度办事，及时公开预算、决算信息，实现了全年收支平衡。保证了单位各项工作正常运转，取得了较好的社会效益，得到了人民群众的认可。通过《部门整体支出绩效评价指标表》对比分析我单位在2024年执行预算过程中取得了较好的成绩，自评得分93.78分</w:t>
      </w:r>
    </w:p>
    <w:p w14:paraId="47346DAC">
      <w:pPr>
        <w:adjustRightInd w:val="0"/>
        <w:snapToGrid w:val="0"/>
        <w:spacing w:line="600" w:lineRule="exact"/>
        <w:ind w:firstLine="1920" w:firstLineChars="600"/>
        <w:rPr>
          <w:rFonts w:eastAsia="仿宋_GB2312"/>
          <w:sz w:val="32"/>
          <w:szCs w:val="32"/>
        </w:rPr>
      </w:pPr>
    </w:p>
    <w:p w14:paraId="4EEB8908">
      <w:pPr>
        <w:adjustRightInd w:val="0"/>
        <w:snapToGrid w:val="0"/>
        <w:spacing w:line="600" w:lineRule="exact"/>
        <w:ind w:firstLine="1920" w:firstLineChars="600"/>
        <w:rPr>
          <w:rFonts w:eastAsia="仿宋_GB2312"/>
          <w:sz w:val="32"/>
          <w:szCs w:val="32"/>
        </w:rPr>
      </w:pPr>
      <w:r>
        <w:rPr>
          <w:rFonts w:hint="eastAsia" w:eastAsia="仿宋_GB2312"/>
          <w:sz w:val="32"/>
          <w:szCs w:val="32"/>
        </w:rPr>
        <w:t>东安县规划执法大队单位（盖章）</w:t>
      </w:r>
    </w:p>
    <w:p w14:paraId="2B15236C">
      <w:pPr>
        <w:wordWrap w:val="0"/>
        <w:adjustRightInd w:val="0"/>
        <w:snapToGrid w:val="0"/>
        <w:spacing w:line="600" w:lineRule="exact"/>
        <w:ind w:firstLine="640" w:firstLineChars="200"/>
        <w:jc w:val="right"/>
        <w:rPr>
          <w:rFonts w:eastAsia="仿宋_GB2312"/>
          <w:sz w:val="32"/>
          <w:szCs w:val="32"/>
        </w:rPr>
      </w:pPr>
    </w:p>
    <w:p w14:paraId="4C145E0D">
      <w:pPr>
        <w:wordWrap w:val="0"/>
        <w:adjustRightInd w:val="0"/>
        <w:snapToGrid w:val="0"/>
        <w:spacing w:line="600" w:lineRule="exact"/>
        <w:ind w:firstLine="640" w:firstLineChars="200"/>
        <w:jc w:val="right"/>
        <w:rPr>
          <w:rFonts w:ascii="仿宋_GB2312" w:eastAsia="仿宋_GB2312"/>
          <w:sz w:val="32"/>
          <w:szCs w:val="32"/>
        </w:rPr>
      </w:pPr>
      <w:r>
        <w:rPr>
          <w:rFonts w:hint="eastAsia" w:eastAsia="仿宋_GB2312"/>
          <w:sz w:val="32"/>
          <w:szCs w:val="32"/>
        </w:rPr>
        <w:t>2025年 4月 10 日</w:t>
      </w: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613D7"/>
    <w:multiLevelType w:val="multilevel"/>
    <w:tmpl w:val="044613D7"/>
    <w:lvl w:ilvl="0" w:tentative="0">
      <w:start w:val="9"/>
      <w:numFmt w:val="japaneseCounting"/>
      <w:lvlText w:val="%1、"/>
      <w:lvlJc w:val="left"/>
      <w:pPr>
        <w:ind w:left="1004" w:hanging="720"/>
      </w:pPr>
      <w:rPr>
        <w:rFonts w:hint="default" w:ascii="仿宋" w:hAnsi="仿宋" w:eastAsia="仿宋"/>
        <w:b w:val="0"/>
        <w:sz w:val="40"/>
        <w:szCs w:val="3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YWIxM2IwOTY0ZjNkNWQ1MjlmZjZhYTlmNmNiNGMifQ=="/>
  </w:docVars>
  <w:rsids>
    <w:rsidRoot w:val="00E023F5"/>
    <w:rsid w:val="00001269"/>
    <w:rsid w:val="00037B95"/>
    <w:rsid w:val="00151FB2"/>
    <w:rsid w:val="0017128D"/>
    <w:rsid w:val="00273308"/>
    <w:rsid w:val="002A087C"/>
    <w:rsid w:val="002C24C0"/>
    <w:rsid w:val="002F34A7"/>
    <w:rsid w:val="00491393"/>
    <w:rsid w:val="004A139B"/>
    <w:rsid w:val="005A30F2"/>
    <w:rsid w:val="005B2827"/>
    <w:rsid w:val="006117C5"/>
    <w:rsid w:val="0061728F"/>
    <w:rsid w:val="006471B7"/>
    <w:rsid w:val="006A49C3"/>
    <w:rsid w:val="006B7DCE"/>
    <w:rsid w:val="0073431B"/>
    <w:rsid w:val="00762D52"/>
    <w:rsid w:val="00783181"/>
    <w:rsid w:val="007E69C8"/>
    <w:rsid w:val="00824369"/>
    <w:rsid w:val="00836368"/>
    <w:rsid w:val="00877BA1"/>
    <w:rsid w:val="00956A8E"/>
    <w:rsid w:val="009E05EB"/>
    <w:rsid w:val="00A125D0"/>
    <w:rsid w:val="00A76448"/>
    <w:rsid w:val="00B30C5E"/>
    <w:rsid w:val="00B74A87"/>
    <w:rsid w:val="00C25252"/>
    <w:rsid w:val="00CE0BD6"/>
    <w:rsid w:val="00D116AF"/>
    <w:rsid w:val="00D1790A"/>
    <w:rsid w:val="00D21A44"/>
    <w:rsid w:val="00D47656"/>
    <w:rsid w:val="00D62BDF"/>
    <w:rsid w:val="00D646C0"/>
    <w:rsid w:val="00D90AB0"/>
    <w:rsid w:val="00DF468F"/>
    <w:rsid w:val="00E023F5"/>
    <w:rsid w:val="00E641CA"/>
    <w:rsid w:val="00E96CA1"/>
    <w:rsid w:val="00EA1F7D"/>
    <w:rsid w:val="00F16E04"/>
    <w:rsid w:val="00F94903"/>
    <w:rsid w:val="12664472"/>
    <w:rsid w:val="16E85568"/>
    <w:rsid w:val="1D6E7A42"/>
    <w:rsid w:val="21190588"/>
    <w:rsid w:val="274701C5"/>
    <w:rsid w:val="2AA75AB8"/>
    <w:rsid w:val="2B65242C"/>
    <w:rsid w:val="2E5D4B8D"/>
    <w:rsid w:val="36C619F8"/>
    <w:rsid w:val="39000043"/>
    <w:rsid w:val="3A016FB0"/>
    <w:rsid w:val="400458A4"/>
    <w:rsid w:val="46CF76F8"/>
    <w:rsid w:val="58E53E93"/>
    <w:rsid w:val="5DAF4A19"/>
    <w:rsid w:val="6ABE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index 5"/>
    <w:basedOn w:val="1"/>
    <w:next w:val="1"/>
    <w:qFormat/>
    <w:uiPriority w:val="0"/>
    <w:pPr>
      <w:ind w:left="1680"/>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FollowedHyperlink"/>
    <w:basedOn w:val="9"/>
    <w:qFormat/>
    <w:uiPriority w:val="0"/>
    <w:rPr>
      <w:color w:val="800080" w:themeColor="followedHyperlink"/>
      <w:u w:val="single"/>
    </w:rPr>
  </w:style>
  <w:style w:type="character" w:styleId="11">
    <w:name w:val="Hyperlink"/>
    <w:basedOn w:val="9"/>
    <w:qFormat/>
    <w:uiPriority w:val="0"/>
    <w:rPr>
      <w:color w:val="0000FF" w:themeColor="hyperlink"/>
      <w:u w:val="single"/>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框文本 Char"/>
    <w:basedOn w:val="9"/>
    <w:link w:val="4"/>
    <w:qFormat/>
    <w:uiPriority w:val="0"/>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1913</Words>
  <Characters>2020</Characters>
  <Lines>14</Lines>
  <Paragraphs>4</Paragraphs>
  <TotalTime>6</TotalTime>
  <ScaleCrop>false</ScaleCrop>
  <LinksUpToDate>false</LinksUpToDate>
  <CharactersWithSpaces>2025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2025-04-09T09:19:00Z</dcterms:created>
  <dc:creator>Lenovo User</dc:creator>
  <cp:lastModifiedBy>Administrator</cp:lastModifiedBy>
  <cp:lastPrinted>2013-10-09T02:05:00Z</cp:lastPrinted>
  <dcterms:modified xsi:type="dcterms:W3CDTF">2025-09-12T02:59:21Z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917A22D572184750A3E0D4C838AF7D20_13</vt:lpwstr>
  </property>
</Properties>
</file>