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2"/>
        <w:spacing w:before="323" w:line="348" w:lineRule="auto"/>
        <w:ind w:left="272" w:right="431"/>
      </w:pPr>
      <w:r>
        <w:rPr>
          <w:rFonts w:hint="eastAsia" w:ascii="Times New Roman"/>
          <w:lang w:eastAsia="zh-CN"/>
        </w:rPr>
        <w:t>2020年</w:t>
      </w:r>
      <w:r>
        <w:t>度</w:t>
      </w:r>
      <w:r>
        <w:rPr>
          <w:rFonts w:hint="eastAsia"/>
          <w:lang w:eastAsia="zh-CN"/>
        </w:rPr>
        <w:t>东安县白牙市镇人民政府</w:t>
      </w:r>
      <w:r>
        <w:t>部门决算</w:t>
      </w:r>
    </w:p>
    <w:p>
      <w:pPr>
        <w:spacing w:line="348" w:lineRule="auto"/>
        <w:jc w:val="both"/>
        <w:sectPr>
          <w:type w:val="continuous"/>
          <w:pgSz w:w="11910" w:h="16840"/>
          <w:pgMar w:top="1580" w:right="1320" w:bottom="280" w:left="1480" w:header="720" w:footer="720" w:gutter="0"/>
          <w:pgBorders>
            <w:top w:val="none" w:sz="0" w:space="0"/>
            <w:left w:val="none" w:sz="0" w:space="0"/>
            <w:bottom w:val="none" w:sz="0" w:space="0"/>
            <w:right w:val="none" w:sz="0" w:space="0"/>
          </w:pgBorders>
          <w:cols w:space="720" w:num="1"/>
        </w:sectPr>
      </w:pPr>
    </w:p>
    <w:p>
      <w:pPr>
        <w:tabs>
          <w:tab w:val="left" w:pos="4692"/>
        </w:tabs>
        <w:spacing w:before="99"/>
        <w:ind w:left="3812"/>
        <w:rPr>
          <w:sz w:val="44"/>
        </w:rPr>
      </w:pPr>
      <w:r>
        <w:rPr>
          <w:sz w:val="44"/>
        </w:rPr>
        <w:t>目</w:t>
      </w:r>
      <w:r>
        <w:rPr>
          <w:sz w:val="44"/>
        </w:rPr>
        <w:tab/>
      </w:r>
      <w:r>
        <w:rPr>
          <w:sz w:val="44"/>
        </w:rPr>
        <w:t>录</w:t>
      </w:r>
    </w:p>
    <w:p>
      <w:pPr>
        <w:pStyle w:val="6"/>
        <w:spacing w:before="8"/>
        <w:rPr>
          <w:sz w:val="46"/>
        </w:rPr>
      </w:pPr>
    </w:p>
    <w:p>
      <w:pPr>
        <w:ind w:left="668"/>
        <w:rPr>
          <w:rFonts w:ascii="黑体" w:eastAsia="黑体"/>
          <w:sz w:val="28"/>
        </w:rPr>
      </w:pPr>
      <w:r>
        <w:rPr>
          <w:rFonts w:hint="eastAsia" w:ascii="黑体" w:eastAsia="黑体"/>
          <w:sz w:val="28"/>
        </w:rPr>
        <w:t>第一部分</w:t>
      </w:r>
      <w:r>
        <w:rPr>
          <w:rFonts w:hint="eastAsia" w:ascii="黑体" w:eastAsia="黑体"/>
          <w:sz w:val="28"/>
          <w:lang w:eastAsia="zh-CN"/>
        </w:rPr>
        <w:t>白牙市镇人民政府</w:t>
      </w:r>
      <w:r>
        <w:rPr>
          <w:rFonts w:hint="eastAsia" w:ascii="黑体" w:eastAsia="黑体"/>
          <w:sz w:val="28"/>
        </w:rPr>
        <w:t>单位概况</w:t>
      </w:r>
    </w:p>
    <w:p>
      <w:pPr>
        <w:spacing w:before="141" w:line="336" w:lineRule="auto"/>
        <w:ind w:left="668" w:right="6755"/>
        <w:rPr>
          <w:sz w:val="28"/>
        </w:rPr>
      </w:pPr>
      <w:r>
        <w:rPr>
          <w:sz w:val="28"/>
        </w:rPr>
        <w:t>一、部门职责二、机构设置</w:t>
      </w:r>
    </w:p>
    <w:p>
      <w:pPr>
        <w:spacing w:line="355" w:lineRule="exact"/>
        <w:ind w:left="668"/>
        <w:rPr>
          <w:rFonts w:ascii="黑体" w:eastAsia="黑体"/>
          <w:sz w:val="28"/>
        </w:rPr>
      </w:pPr>
      <w:r>
        <w:rPr>
          <w:rFonts w:hint="eastAsia" w:ascii="黑体" w:eastAsia="黑体"/>
          <w:sz w:val="28"/>
        </w:rPr>
        <w:t>第二部分</w:t>
      </w:r>
      <w:r>
        <w:rPr>
          <w:rFonts w:hint="eastAsia" w:ascii="Times New Roman"/>
          <w:sz w:val="28"/>
          <w:lang w:eastAsia="zh-CN"/>
        </w:rPr>
        <w:t>2020年</w:t>
      </w:r>
      <w:r>
        <w:rPr>
          <w:rFonts w:hint="eastAsia" w:ascii="黑体" w:eastAsia="黑体"/>
          <w:sz w:val="28"/>
        </w:rPr>
        <w:t>度部门决算表</w:t>
      </w:r>
    </w:p>
    <w:p>
      <w:pPr>
        <w:spacing w:before="140" w:line="336" w:lineRule="auto"/>
        <w:ind w:left="668" w:right="5635"/>
        <w:rPr>
          <w:sz w:val="28"/>
        </w:rPr>
      </w:pPr>
      <w:r>
        <w:rPr>
          <w:sz w:val="28"/>
        </w:rPr>
        <w:t>一、收入支出决算总表二、收入决算表</w:t>
      </w:r>
    </w:p>
    <w:p>
      <w:pPr>
        <w:spacing w:line="355" w:lineRule="exact"/>
        <w:ind w:left="668"/>
        <w:rPr>
          <w:sz w:val="28"/>
        </w:rPr>
      </w:pPr>
      <w:r>
        <w:rPr>
          <w:sz w:val="28"/>
        </w:rPr>
        <w:t>三、支出决算表</w:t>
      </w:r>
    </w:p>
    <w:p>
      <w:pPr>
        <w:spacing w:before="141"/>
        <w:ind w:left="668"/>
        <w:rPr>
          <w:sz w:val="28"/>
        </w:rPr>
      </w:pPr>
      <w:r>
        <w:rPr>
          <w:sz w:val="28"/>
        </w:rPr>
        <w:t>四、财政拨款收入支出决算总表</w:t>
      </w:r>
    </w:p>
    <w:p>
      <w:pPr>
        <w:spacing w:before="142"/>
        <w:ind w:left="668"/>
        <w:rPr>
          <w:sz w:val="28"/>
        </w:rPr>
      </w:pPr>
      <w:r>
        <w:rPr>
          <w:sz w:val="28"/>
        </w:rPr>
        <w:t>五、一般公共预算财政拨款支出决算表</w:t>
      </w:r>
    </w:p>
    <w:p>
      <w:pPr>
        <w:spacing w:before="141"/>
        <w:ind w:left="668"/>
        <w:rPr>
          <w:sz w:val="28"/>
        </w:rPr>
      </w:pPr>
      <w:r>
        <w:rPr>
          <w:sz w:val="28"/>
        </w:rPr>
        <w:t>六、一般公共预算财政拨款基本支出决算表</w:t>
      </w:r>
    </w:p>
    <w:p>
      <w:pPr>
        <w:spacing w:before="140" w:line="336" w:lineRule="auto"/>
        <w:ind w:left="668" w:right="2306"/>
        <w:rPr>
          <w:rFonts w:hint="eastAsia"/>
          <w:sz w:val="28"/>
          <w:highlight w:val="none"/>
          <w:lang w:eastAsia="zh-CN"/>
        </w:rPr>
      </w:pPr>
      <w:r>
        <w:rPr>
          <w:sz w:val="28"/>
        </w:rPr>
        <w:t>七、</w:t>
      </w:r>
      <w:r>
        <w:rPr>
          <w:sz w:val="28"/>
          <w:highlight w:val="none"/>
        </w:rPr>
        <w:t>一般公共预算财政拨款</w:t>
      </w:r>
      <w:r>
        <w:rPr>
          <w:rFonts w:ascii="Times New Roman" w:hAnsi="Times New Roman" w:eastAsia="Times New Roman"/>
          <w:sz w:val="28"/>
          <w:highlight w:val="none"/>
        </w:rPr>
        <w:t>“</w:t>
      </w:r>
      <w:r>
        <w:rPr>
          <w:sz w:val="28"/>
          <w:highlight w:val="none"/>
        </w:rPr>
        <w:t>三公</w:t>
      </w:r>
      <w:r>
        <w:rPr>
          <w:rFonts w:ascii="Times New Roman" w:hAnsi="Times New Roman" w:eastAsia="Times New Roman"/>
          <w:sz w:val="28"/>
          <w:highlight w:val="none"/>
        </w:rPr>
        <w:t>”</w:t>
      </w:r>
      <w:r>
        <w:rPr>
          <w:sz w:val="28"/>
          <w:highlight w:val="none"/>
        </w:rPr>
        <w:t>经费支出决算表</w:t>
      </w:r>
    </w:p>
    <w:p>
      <w:pPr>
        <w:spacing w:before="140" w:line="336" w:lineRule="auto"/>
        <w:ind w:left="668" w:right="2306"/>
        <w:rPr>
          <w:sz w:val="28"/>
        </w:rPr>
      </w:pPr>
      <w:r>
        <w:rPr>
          <w:sz w:val="28"/>
        </w:rPr>
        <w:t>八、政府性基金预算财政拨款收入支出决算表</w:t>
      </w:r>
    </w:p>
    <w:p>
      <w:pPr>
        <w:spacing w:line="355" w:lineRule="exact"/>
        <w:ind w:left="668"/>
        <w:rPr>
          <w:rFonts w:ascii="黑体" w:eastAsia="黑体"/>
          <w:sz w:val="28"/>
        </w:rPr>
      </w:pPr>
      <w:r>
        <w:rPr>
          <w:rFonts w:hint="eastAsia" w:ascii="黑体" w:eastAsia="黑体"/>
          <w:sz w:val="28"/>
        </w:rPr>
        <w:t>第三部分</w:t>
      </w:r>
      <w:r>
        <w:rPr>
          <w:rFonts w:hint="eastAsia" w:ascii="Times New Roman"/>
          <w:sz w:val="28"/>
          <w:lang w:eastAsia="zh-CN"/>
        </w:rPr>
        <w:t>2020年</w:t>
      </w:r>
      <w:r>
        <w:rPr>
          <w:rFonts w:hint="eastAsia" w:ascii="黑体" w:eastAsia="黑体"/>
          <w:sz w:val="28"/>
        </w:rPr>
        <w:t>度部门决算情况说明</w:t>
      </w:r>
    </w:p>
    <w:p>
      <w:pPr>
        <w:spacing w:before="141" w:line="336" w:lineRule="auto"/>
        <w:ind w:left="668" w:right="4514"/>
        <w:rPr>
          <w:sz w:val="28"/>
        </w:rPr>
      </w:pPr>
      <w:r>
        <w:rPr>
          <w:sz w:val="28"/>
        </w:rPr>
        <w:t>一、收入支出决算总体情况说明二、收入决算情况说明</w:t>
      </w:r>
    </w:p>
    <w:p>
      <w:pPr>
        <w:spacing w:line="355" w:lineRule="exact"/>
        <w:ind w:left="668"/>
        <w:rPr>
          <w:sz w:val="28"/>
        </w:rPr>
      </w:pPr>
      <w:r>
        <w:rPr>
          <w:sz w:val="28"/>
        </w:rPr>
        <w:t>三、支出决算情况说明</w:t>
      </w:r>
    </w:p>
    <w:p>
      <w:pPr>
        <w:spacing w:before="140"/>
        <w:ind w:left="668"/>
        <w:rPr>
          <w:sz w:val="28"/>
        </w:rPr>
      </w:pPr>
      <w:r>
        <w:rPr>
          <w:sz w:val="28"/>
        </w:rPr>
        <w:t>四、财政拨款收入支出决算总体情况说明</w:t>
      </w:r>
    </w:p>
    <w:p>
      <w:pPr>
        <w:spacing w:before="143"/>
        <w:ind w:left="668"/>
        <w:rPr>
          <w:sz w:val="28"/>
        </w:rPr>
      </w:pPr>
      <w:r>
        <w:rPr>
          <w:sz w:val="28"/>
        </w:rPr>
        <w:t>五、一般公共预算财政拨款支出决算情况说明</w:t>
      </w:r>
    </w:p>
    <w:p>
      <w:pPr>
        <w:spacing w:before="140"/>
        <w:ind w:left="668"/>
        <w:rPr>
          <w:sz w:val="28"/>
        </w:rPr>
      </w:pPr>
      <w:r>
        <w:rPr>
          <w:sz w:val="28"/>
        </w:rPr>
        <w:t>六、一般公共预算财政拨款基本支出决算情况说明</w:t>
      </w:r>
    </w:p>
    <w:p>
      <w:pPr>
        <w:spacing w:before="141" w:line="336" w:lineRule="auto"/>
        <w:ind w:left="668" w:right="1715"/>
        <w:rPr>
          <w:sz w:val="28"/>
        </w:rPr>
      </w:pPr>
      <w:r>
        <w:rPr>
          <w:sz w:val="28"/>
        </w:rPr>
        <w:t>七、一般公共预算财政拨款三公经费支出决算情况说明八、政府性基金预算收入支出决算情况</w:t>
      </w:r>
    </w:p>
    <w:p>
      <w:pPr>
        <w:spacing w:line="355" w:lineRule="exact"/>
        <w:ind w:left="668"/>
        <w:rPr>
          <w:sz w:val="28"/>
        </w:rPr>
      </w:pPr>
      <w:r>
        <w:rPr>
          <w:sz w:val="28"/>
        </w:rPr>
        <w:t>九、预算绩效情况说明</w:t>
      </w:r>
    </w:p>
    <w:p>
      <w:pPr>
        <w:spacing w:before="140"/>
        <w:ind w:left="668"/>
        <w:rPr>
          <w:sz w:val="28"/>
        </w:rPr>
      </w:pPr>
      <w:r>
        <w:rPr>
          <w:sz w:val="28"/>
        </w:rPr>
        <w:t>十、其他重要事项情况说明</w:t>
      </w:r>
    </w:p>
    <w:p>
      <w:pPr>
        <w:spacing w:before="143" w:line="333" w:lineRule="auto"/>
        <w:ind w:left="668" w:right="6194"/>
        <w:rPr>
          <w:rFonts w:ascii="黑体" w:eastAsia="黑体"/>
          <w:sz w:val="28"/>
        </w:rPr>
      </w:pPr>
      <w:r>
        <w:rPr>
          <w:rFonts w:hint="eastAsia" w:ascii="黑体" w:eastAsia="黑体"/>
          <w:sz w:val="28"/>
        </w:rPr>
        <w:t>第四部分名词解释第五部分附件</w:t>
      </w:r>
    </w:p>
    <w:p>
      <w:pPr>
        <w:spacing w:line="333" w:lineRule="auto"/>
        <w:rPr>
          <w:rFonts w:ascii="黑体" w:eastAsia="黑体"/>
          <w:sz w:val="28"/>
        </w:rPr>
        <w:sectPr>
          <w:pgSz w:w="11910" w:h="16840"/>
          <w:pgMar w:top="1260" w:right="1320" w:bottom="280" w:left="1480" w:header="720" w:footer="720" w:gutter="0"/>
          <w:pgBorders>
            <w:top w:val="none" w:sz="0" w:space="0"/>
            <w:left w:val="none" w:sz="0" w:space="0"/>
            <w:bottom w:val="none" w:sz="0" w:space="0"/>
            <w:right w:val="none" w:sz="0" w:space="0"/>
          </w:pgBorders>
          <w:cols w:space="720" w:num="1"/>
        </w:sectPr>
      </w:pPr>
    </w:p>
    <w:p>
      <w:pPr>
        <w:pStyle w:val="6"/>
        <w:rPr>
          <w:rFonts w:ascii="黑体"/>
          <w:sz w:val="20"/>
        </w:rPr>
      </w:pPr>
    </w:p>
    <w:p>
      <w:pPr>
        <w:pStyle w:val="6"/>
        <w:rPr>
          <w:rFonts w:ascii="黑体"/>
          <w:sz w:val="20"/>
        </w:rPr>
      </w:pPr>
    </w:p>
    <w:p>
      <w:pPr>
        <w:pStyle w:val="6"/>
        <w:rPr>
          <w:rFonts w:ascii="黑体"/>
          <w:sz w:val="20"/>
        </w:rPr>
      </w:pPr>
    </w:p>
    <w:p>
      <w:pPr>
        <w:pStyle w:val="6"/>
        <w:rPr>
          <w:rFonts w:ascii="黑体"/>
          <w:sz w:val="20"/>
        </w:rPr>
      </w:pPr>
    </w:p>
    <w:p>
      <w:pPr>
        <w:pStyle w:val="6"/>
        <w:rPr>
          <w:rFonts w:ascii="黑体"/>
          <w:sz w:val="20"/>
        </w:rPr>
      </w:pPr>
    </w:p>
    <w:p>
      <w:pPr>
        <w:pStyle w:val="6"/>
        <w:rPr>
          <w:rFonts w:ascii="黑体"/>
          <w:sz w:val="20"/>
        </w:rPr>
      </w:pPr>
    </w:p>
    <w:p>
      <w:pPr>
        <w:pStyle w:val="6"/>
        <w:rPr>
          <w:rFonts w:ascii="黑体"/>
          <w:sz w:val="20"/>
        </w:rPr>
      </w:pPr>
    </w:p>
    <w:p>
      <w:pPr>
        <w:pStyle w:val="6"/>
        <w:rPr>
          <w:rFonts w:ascii="黑体"/>
          <w:sz w:val="20"/>
        </w:rPr>
      </w:pPr>
    </w:p>
    <w:p>
      <w:pPr>
        <w:pStyle w:val="6"/>
        <w:rPr>
          <w:rFonts w:ascii="黑体"/>
          <w:sz w:val="20"/>
        </w:rPr>
      </w:pPr>
    </w:p>
    <w:p>
      <w:pPr>
        <w:pStyle w:val="6"/>
        <w:rPr>
          <w:rFonts w:ascii="黑体"/>
          <w:sz w:val="20"/>
        </w:rPr>
      </w:pPr>
    </w:p>
    <w:p>
      <w:pPr>
        <w:pStyle w:val="6"/>
        <w:rPr>
          <w:rFonts w:ascii="黑体"/>
          <w:sz w:val="20"/>
        </w:rPr>
      </w:pPr>
    </w:p>
    <w:p>
      <w:pPr>
        <w:pStyle w:val="6"/>
        <w:rPr>
          <w:rFonts w:ascii="黑体"/>
          <w:sz w:val="20"/>
        </w:rPr>
      </w:pPr>
    </w:p>
    <w:p>
      <w:pPr>
        <w:pStyle w:val="6"/>
        <w:rPr>
          <w:rFonts w:ascii="黑体"/>
          <w:sz w:val="20"/>
        </w:rPr>
      </w:pPr>
    </w:p>
    <w:p>
      <w:pPr>
        <w:pStyle w:val="6"/>
        <w:rPr>
          <w:rFonts w:ascii="黑体"/>
          <w:sz w:val="20"/>
        </w:rPr>
      </w:pPr>
    </w:p>
    <w:p>
      <w:pPr>
        <w:pStyle w:val="6"/>
        <w:rPr>
          <w:rFonts w:ascii="黑体"/>
          <w:sz w:val="20"/>
        </w:rPr>
      </w:pPr>
    </w:p>
    <w:p>
      <w:pPr>
        <w:pStyle w:val="6"/>
        <w:spacing w:before="5"/>
        <w:rPr>
          <w:rFonts w:ascii="黑体"/>
          <w:sz w:val="25"/>
        </w:rPr>
      </w:pPr>
    </w:p>
    <w:p>
      <w:pPr>
        <w:pStyle w:val="2"/>
        <w:spacing w:line="1058" w:lineRule="exact"/>
        <w:rPr>
          <w:rFonts w:ascii="黑体" w:eastAsia="黑体"/>
        </w:rPr>
      </w:pPr>
      <w:r>
        <w:rPr>
          <w:rFonts w:hint="eastAsia" w:ascii="黑体" w:eastAsia="黑体"/>
        </w:rPr>
        <w:t>第一部分</w:t>
      </w:r>
    </w:p>
    <w:p>
      <w:pPr>
        <w:pStyle w:val="6"/>
        <w:spacing w:before="5"/>
        <w:rPr>
          <w:rFonts w:ascii="黑体"/>
          <w:sz w:val="125"/>
        </w:rPr>
      </w:pPr>
    </w:p>
    <w:p>
      <w:pPr>
        <w:ind w:left="254" w:right="415"/>
        <w:jc w:val="center"/>
        <w:rPr>
          <w:sz w:val="84"/>
        </w:rPr>
      </w:pPr>
      <w:r>
        <w:rPr>
          <w:rFonts w:hint="eastAsia"/>
          <w:sz w:val="84"/>
          <w:lang w:eastAsia="zh-CN"/>
        </w:rPr>
        <w:t>白牙市镇人民政府</w:t>
      </w:r>
      <w:r>
        <w:rPr>
          <w:sz w:val="84"/>
        </w:rPr>
        <w:t>单位概况</w:t>
      </w:r>
    </w:p>
    <w:p>
      <w:pPr>
        <w:jc w:val="center"/>
        <w:rPr>
          <w:sz w:val="84"/>
        </w:rPr>
        <w:sectPr>
          <w:footerReference r:id="rId3" w:type="default"/>
          <w:pgSz w:w="11910" w:h="16840"/>
          <w:pgMar w:top="1580" w:right="1320" w:bottom="1160" w:left="1480" w:header="0" w:footer="975" w:gutter="0"/>
          <w:pgBorders>
            <w:top w:val="none" w:sz="0" w:space="0"/>
            <w:left w:val="none" w:sz="0" w:space="0"/>
            <w:bottom w:val="none" w:sz="0" w:space="0"/>
            <w:right w:val="none" w:sz="0" w:space="0"/>
          </w:pgBorders>
          <w:pgNumType w:start="1"/>
          <w:cols w:space="720" w:num="1"/>
        </w:sectPr>
      </w:pPr>
    </w:p>
    <w:p>
      <w:pPr>
        <w:pStyle w:val="6"/>
        <w:spacing w:before="41"/>
        <w:ind w:left="747"/>
        <w:rPr>
          <w:rFonts w:ascii="黑体" w:eastAsia="黑体"/>
        </w:rPr>
      </w:pPr>
      <w:r>
        <w:rPr>
          <w:rFonts w:hint="eastAsia" w:ascii="黑体" w:eastAsia="黑体"/>
        </w:rPr>
        <w:t>一、部门职责</w:t>
      </w:r>
    </w:p>
    <w:p>
      <w:pPr>
        <w:pStyle w:val="6"/>
        <w:spacing w:before="190" w:line="350" w:lineRule="auto"/>
        <w:ind w:left="108" w:right="108" w:firstLine="638"/>
        <w:rPr>
          <w:spacing w:val="-12"/>
        </w:rPr>
      </w:pPr>
      <w:r>
        <w:rPr>
          <w:rFonts w:hint="eastAsia"/>
          <w:spacing w:val="-12"/>
        </w:rPr>
        <w:t>(1)保证党的路线、方针、政策的坚决贯彻执行。组织指导好各业生产，搞好商品流通，协调好我镇与外地区的经济交流与合作，促进经济发展。</w:t>
      </w:r>
    </w:p>
    <w:p>
      <w:pPr>
        <w:pStyle w:val="6"/>
        <w:spacing w:before="190" w:line="350" w:lineRule="auto"/>
        <w:ind w:left="108" w:right="108" w:firstLine="638"/>
        <w:rPr>
          <w:spacing w:val="-12"/>
        </w:rPr>
      </w:pPr>
      <w:r>
        <w:rPr>
          <w:rFonts w:hint="eastAsia"/>
          <w:spacing w:val="-12"/>
        </w:rPr>
        <w:t>（2）制定并组织实施村镇建设规划，部署重点工程建设，道路建设及公共设施，水利设施的管理，负责土地、林木、水等自然资源和生态环境的保护，做好护林防火工作。</w:t>
      </w:r>
    </w:p>
    <w:p>
      <w:pPr>
        <w:pStyle w:val="6"/>
        <w:spacing w:before="190" w:line="350" w:lineRule="auto"/>
        <w:ind w:left="108" w:right="108" w:firstLine="638"/>
        <w:rPr>
          <w:spacing w:val="-12"/>
        </w:rPr>
      </w:pPr>
      <w:r>
        <w:rPr>
          <w:rFonts w:hint="eastAsia"/>
          <w:spacing w:val="-12"/>
        </w:rPr>
        <w:t>（3）负责本镇的民政、计划生育、文化教育、卫生、体育等社会公益事业的综合性工作，维护一切经济单位和个人的正当经济权益，取缔非法经济活动，调解和处理民事纠纷，打击刑事犯罪维护社会稳定。</w:t>
      </w:r>
    </w:p>
    <w:p>
      <w:pPr>
        <w:pStyle w:val="6"/>
        <w:spacing w:before="190" w:line="350" w:lineRule="auto"/>
        <w:ind w:left="108" w:right="108" w:firstLine="638"/>
        <w:rPr>
          <w:spacing w:val="-12"/>
        </w:rPr>
      </w:pPr>
      <w:r>
        <w:rPr>
          <w:rFonts w:hint="eastAsia"/>
          <w:spacing w:val="-12"/>
        </w:rPr>
        <w:t>（4）按计划组织本级财政收入和地方税的征收，完成国家财政计划，不断培植税源，管好财政资金，增强财政实力。</w:t>
      </w:r>
    </w:p>
    <w:p>
      <w:pPr>
        <w:pStyle w:val="6"/>
        <w:spacing w:before="190" w:line="350" w:lineRule="auto"/>
        <w:ind w:left="108" w:right="108" w:firstLine="638"/>
        <w:rPr>
          <w:spacing w:val="-12"/>
        </w:rPr>
      </w:pPr>
      <w:r>
        <w:rPr>
          <w:rFonts w:hint="eastAsia"/>
          <w:spacing w:val="-12"/>
        </w:rPr>
        <w:t>（5）抓好精神文明建设，丰富群众文化生活，树立社会主义新风尚。</w:t>
      </w:r>
    </w:p>
    <w:p>
      <w:pPr>
        <w:pStyle w:val="6"/>
        <w:spacing w:before="190" w:line="350" w:lineRule="auto"/>
        <w:ind w:left="108" w:right="108" w:firstLine="638"/>
        <w:rPr>
          <w:spacing w:val="-12"/>
        </w:rPr>
      </w:pPr>
      <w:r>
        <w:rPr>
          <w:rFonts w:hint="eastAsia"/>
          <w:spacing w:val="-12"/>
        </w:rPr>
        <w:t>（6）完成上级政府交办的其它事项。</w:t>
      </w:r>
    </w:p>
    <w:p>
      <w:pPr>
        <w:pStyle w:val="6"/>
        <w:spacing w:before="190"/>
        <w:ind w:left="747"/>
        <w:rPr>
          <w:rFonts w:ascii="黑体" w:eastAsia="黑体"/>
        </w:rPr>
      </w:pPr>
      <w:r>
        <w:rPr>
          <w:rFonts w:hint="eastAsia" w:ascii="黑体" w:eastAsia="黑体"/>
        </w:rPr>
        <w:t>二、机构设置及决算单位构成</w:t>
      </w:r>
    </w:p>
    <w:p>
      <w:pPr>
        <w:pStyle w:val="5"/>
        <w:spacing w:before="84"/>
      </w:pPr>
      <w:r>
        <w:t>（一）机构设置。</w:t>
      </w:r>
    </w:p>
    <w:p>
      <w:pPr>
        <w:pStyle w:val="6"/>
        <w:spacing w:before="41" w:line="351" w:lineRule="auto"/>
        <w:ind w:left="108" w:right="266" w:firstLine="640" w:firstLineChars="200"/>
        <w:jc w:val="both"/>
        <w:rPr>
          <w:lang w:eastAsia="zh-CN"/>
        </w:rPr>
      </w:pPr>
      <w:r>
        <w:rPr>
          <w:rFonts w:hint="eastAsia"/>
          <w:lang w:eastAsia="zh-CN"/>
        </w:rPr>
        <w:t>政府机关</w:t>
      </w:r>
      <w:r>
        <w:rPr>
          <w:rFonts w:hint="eastAsia"/>
        </w:rPr>
        <w:t>内设党委、政府、人大、政协四大办公室。</w:t>
      </w:r>
      <w:r>
        <w:rPr>
          <w:rFonts w:hint="eastAsia"/>
          <w:lang w:eastAsia="zh-CN"/>
        </w:rPr>
        <w:t>2020年白牙市镇实有在职人数</w:t>
      </w:r>
      <w:r>
        <w:rPr>
          <w:rFonts w:hint="eastAsia"/>
          <w:lang w:val="en-US" w:eastAsia="zh-CN"/>
        </w:rPr>
        <w:t>223</w:t>
      </w:r>
      <w:r>
        <w:rPr>
          <w:rFonts w:hint="eastAsia"/>
          <w:lang w:eastAsia="zh-CN"/>
        </w:rPr>
        <w:t>人，其中，行政人员9</w:t>
      </w:r>
      <w:r>
        <w:rPr>
          <w:rFonts w:hint="eastAsia"/>
          <w:lang w:val="en-US" w:eastAsia="zh-CN"/>
        </w:rPr>
        <w:t>6</w:t>
      </w:r>
      <w:r>
        <w:rPr>
          <w:rFonts w:hint="eastAsia"/>
          <w:lang w:eastAsia="zh-CN"/>
        </w:rPr>
        <w:t>人，参照公务员法管理事业人员1</w:t>
      </w:r>
      <w:r>
        <w:rPr>
          <w:rFonts w:hint="eastAsia"/>
          <w:lang w:val="en-US" w:eastAsia="zh-CN"/>
        </w:rPr>
        <w:t>27</w:t>
      </w:r>
      <w:r>
        <w:rPr>
          <w:rFonts w:hint="eastAsia"/>
          <w:lang w:eastAsia="zh-CN"/>
        </w:rPr>
        <w:t>人。</w:t>
      </w:r>
    </w:p>
    <w:p>
      <w:pPr>
        <w:pStyle w:val="6"/>
        <w:spacing w:before="41" w:line="351" w:lineRule="auto"/>
        <w:ind w:left="108" w:right="266" w:firstLine="640" w:firstLineChars="200"/>
        <w:jc w:val="both"/>
        <w:rPr>
          <w:lang w:eastAsia="zh-CN"/>
        </w:rPr>
      </w:pPr>
    </w:p>
    <w:p>
      <w:pPr>
        <w:spacing w:line="490" w:lineRule="exact"/>
        <w:ind w:firstLine="643" w:firstLineChars="200"/>
        <w:rPr>
          <w:rFonts w:ascii="Microsoft JhengHei" w:eastAsia="Microsoft JhengHei"/>
          <w:b/>
          <w:sz w:val="32"/>
        </w:rPr>
      </w:pPr>
      <w:r>
        <w:rPr>
          <w:rFonts w:hint="eastAsia" w:ascii="Microsoft JhengHei"/>
          <w:b/>
          <w:sz w:val="32"/>
          <w:lang w:eastAsia="zh-CN"/>
        </w:rPr>
        <w:t>（二）</w:t>
      </w:r>
      <w:r>
        <w:rPr>
          <w:rFonts w:hint="eastAsia" w:ascii="Microsoft JhengHei" w:eastAsia="Microsoft JhengHei"/>
          <w:b/>
          <w:sz w:val="32"/>
        </w:rPr>
        <w:t>决算单位构成</w:t>
      </w:r>
    </w:p>
    <w:p>
      <w:pPr>
        <w:spacing w:line="490" w:lineRule="exact"/>
        <w:ind w:firstLine="640" w:firstLineChars="200"/>
      </w:pPr>
      <w:r>
        <w:rPr>
          <w:rFonts w:hint="eastAsia" w:asciiTheme="minorEastAsia" w:hAnsiTheme="minorEastAsia" w:eastAsiaTheme="minorEastAsia" w:cstheme="minorEastAsia"/>
          <w:sz w:val="32"/>
          <w:szCs w:val="32"/>
        </w:rPr>
        <w:t>我</w:t>
      </w:r>
      <w:r>
        <w:rPr>
          <w:rFonts w:hint="eastAsia" w:asciiTheme="minorEastAsia" w:hAnsiTheme="minorEastAsia" w:eastAsiaTheme="minorEastAsia" w:cstheme="minorEastAsia"/>
          <w:sz w:val="32"/>
          <w:szCs w:val="32"/>
          <w:lang w:eastAsia="zh-CN"/>
        </w:rPr>
        <w:t>单位</w:t>
      </w:r>
      <w:r>
        <w:rPr>
          <w:rFonts w:hint="eastAsia" w:asciiTheme="minorEastAsia" w:hAnsiTheme="minorEastAsia" w:eastAsiaTheme="minorEastAsia" w:cstheme="minorEastAsia"/>
          <w:sz w:val="32"/>
          <w:szCs w:val="32"/>
        </w:rPr>
        <w:t>无二级预算单位，因此，</w:t>
      </w:r>
      <w:r>
        <w:rPr>
          <w:rFonts w:hint="eastAsia" w:asciiTheme="minorEastAsia" w:hAnsiTheme="minorEastAsia" w:eastAsiaTheme="minorEastAsia" w:cstheme="minorEastAsia"/>
          <w:sz w:val="32"/>
          <w:szCs w:val="32"/>
          <w:lang w:eastAsia="zh-CN"/>
        </w:rPr>
        <w:t>白牙市镇2020年</w:t>
      </w:r>
      <w:r>
        <w:rPr>
          <w:rFonts w:hint="eastAsia" w:asciiTheme="minorEastAsia" w:hAnsiTheme="minorEastAsia" w:eastAsiaTheme="minorEastAsia" w:cstheme="minorEastAsia"/>
          <w:spacing w:val="-2"/>
          <w:sz w:val="32"/>
          <w:szCs w:val="32"/>
        </w:rPr>
        <w:t>部门决算即</w:t>
      </w:r>
      <w:r>
        <w:rPr>
          <w:rFonts w:hint="eastAsia" w:asciiTheme="minorEastAsia" w:hAnsiTheme="minorEastAsia" w:eastAsiaTheme="minorEastAsia" w:cstheme="minorEastAsia"/>
          <w:spacing w:val="-2"/>
          <w:sz w:val="32"/>
          <w:szCs w:val="32"/>
          <w:lang w:eastAsia="zh-CN"/>
        </w:rPr>
        <w:t>白牙市镇人民政府</w:t>
      </w:r>
      <w:r>
        <w:rPr>
          <w:rFonts w:hint="eastAsia" w:asciiTheme="minorEastAsia" w:hAnsiTheme="minorEastAsia" w:eastAsiaTheme="minorEastAsia" w:cstheme="minorEastAsia"/>
          <w:spacing w:val="-2"/>
          <w:sz w:val="32"/>
          <w:szCs w:val="32"/>
        </w:rPr>
        <w:t>本级</w:t>
      </w:r>
      <w:r>
        <w:rPr>
          <w:rFonts w:hint="eastAsia" w:asciiTheme="minorEastAsia" w:hAnsiTheme="minorEastAsia" w:eastAsiaTheme="minorEastAsia" w:cstheme="minorEastAsia"/>
          <w:spacing w:val="-2"/>
          <w:sz w:val="32"/>
          <w:szCs w:val="32"/>
          <w:lang w:eastAsia="zh-CN"/>
        </w:rPr>
        <w:t>2020年</w:t>
      </w:r>
      <w:r>
        <w:rPr>
          <w:rFonts w:hint="eastAsia" w:asciiTheme="minorEastAsia" w:hAnsiTheme="minorEastAsia" w:eastAsiaTheme="minorEastAsia" w:cstheme="minorEastAsia"/>
          <w:spacing w:val="2"/>
          <w:sz w:val="32"/>
          <w:szCs w:val="32"/>
        </w:rPr>
        <w:t>年部门决算。</w:t>
      </w:r>
    </w:p>
    <w:p>
      <w:pPr>
        <w:spacing w:line="350" w:lineRule="auto"/>
        <w:ind w:firstLine="440" w:firstLineChars="200"/>
        <w:jc w:val="both"/>
        <w:sectPr>
          <w:pgSz w:w="11910" w:h="16840"/>
          <w:pgMar w:top="1520" w:right="1320" w:bottom="1160" w:left="1480" w:header="0" w:footer="975" w:gutter="0"/>
          <w:pgBorders>
            <w:top w:val="none" w:sz="0" w:space="0"/>
            <w:left w:val="none" w:sz="0" w:space="0"/>
            <w:bottom w:val="none" w:sz="0" w:space="0"/>
            <w:right w:val="none" w:sz="0" w:space="0"/>
          </w:pgBorders>
          <w:cols w:space="720" w:num="1"/>
        </w:sect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spacing w:before="9"/>
        <w:rPr>
          <w:sz w:val="18"/>
        </w:rPr>
      </w:pPr>
    </w:p>
    <w:p>
      <w:pPr>
        <w:spacing w:line="922" w:lineRule="exact"/>
        <w:ind w:left="254" w:right="415"/>
        <w:jc w:val="center"/>
        <w:rPr>
          <w:rFonts w:ascii="黑体" w:eastAsia="黑体"/>
          <w:sz w:val="72"/>
        </w:rPr>
      </w:pPr>
      <w:r>
        <w:rPr>
          <w:rFonts w:hint="eastAsia" w:ascii="黑体" w:eastAsia="黑体"/>
          <w:sz w:val="72"/>
        </w:rPr>
        <w:t>第二部分</w:t>
      </w:r>
    </w:p>
    <w:p>
      <w:pPr>
        <w:pStyle w:val="6"/>
        <w:spacing w:before="1"/>
        <w:rPr>
          <w:rFonts w:ascii="黑体"/>
          <w:sz w:val="95"/>
        </w:rPr>
      </w:pPr>
    </w:p>
    <w:p>
      <w:pPr>
        <w:ind w:left="254" w:right="415"/>
        <w:jc w:val="center"/>
        <w:rPr>
          <w:sz w:val="84"/>
        </w:rPr>
      </w:pPr>
      <w:r>
        <w:rPr>
          <w:sz w:val="84"/>
        </w:rPr>
        <w:t>部门决算表</w:t>
      </w:r>
    </w:p>
    <w:p>
      <w:pPr>
        <w:jc w:val="center"/>
        <w:rPr>
          <w:sz w:val="84"/>
        </w:rPr>
        <w:sectPr>
          <w:pgSz w:w="11910" w:h="16840"/>
          <w:pgMar w:top="1580" w:right="1320" w:bottom="1160" w:left="1480" w:header="0" w:footer="975" w:gutter="0"/>
          <w:pgBorders>
            <w:top w:val="none" w:sz="0" w:space="0"/>
            <w:left w:val="none" w:sz="0" w:space="0"/>
            <w:bottom w:val="none" w:sz="0" w:space="0"/>
            <w:right w:val="none" w:sz="0" w:space="0"/>
          </w:pgBorders>
          <w:cols w:space="720" w:num="1"/>
        </w:sectPr>
      </w:pPr>
    </w:p>
    <w:p>
      <w:pPr>
        <w:pStyle w:val="6"/>
        <w:rPr>
          <w:sz w:val="20"/>
        </w:rPr>
      </w:pPr>
    </w:p>
    <w:p>
      <w:pPr>
        <w:pStyle w:val="6"/>
        <w:rPr>
          <w:sz w:val="20"/>
        </w:rPr>
      </w:pPr>
    </w:p>
    <w:p>
      <w:pPr>
        <w:pStyle w:val="6"/>
        <w:spacing w:before="10"/>
        <w:rPr>
          <w:sz w:val="20"/>
        </w:rPr>
      </w:pPr>
    </w:p>
    <w:p>
      <w:pPr>
        <w:pStyle w:val="4"/>
        <w:ind w:right="79"/>
      </w:pPr>
      <w:r>
        <w:t>收入支出决算总表</w:t>
      </w:r>
    </w:p>
    <w:p>
      <w:pPr>
        <w:rPr>
          <w:sz w:val="21"/>
        </w:rPr>
      </w:pPr>
    </w:p>
    <w:tbl>
      <w:tblPr>
        <w:tblStyle w:val="8"/>
        <w:tblW w:w="4998" w:type="pct"/>
        <w:tblInd w:w="0" w:type="dxa"/>
        <w:shd w:val="clear" w:color="auto" w:fill="auto"/>
        <w:tblLayout w:type="autofit"/>
        <w:tblCellMar>
          <w:top w:w="0" w:type="dxa"/>
          <w:left w:w="0" w:type="dxa"/>
          <w:bottom w:w="0" w:type="dxa"/>
          <w:right w:w="0" w:type="dxa"/>
        </w:tblCellMar>
      </w:tblPr>
      <w:tblGrid>
        <w:gridCol w:w="5281"/>
        <w:gridCol w:w="690"/>
        <w:gridCol w:w="1514"/>
        <w:gridCol w:w="4956"/>
        <w:gridCol w:w="690"/>
        <w:gridCol w:w="2127"/>
      </w:tblGrid>
      <w:tr>
        <w:tblPrEx>
          <w:shd w:val="clear" w:color="auto" w:fill="auto"/>
          <w:tblCellMar>
            <w:top w:w="0" w:type="dxa"/>
            <w:left w:w="0" w:type="dxa"/>
            <w:bottom w:w="0" w:type="dxa"/>
            <w:right w:w="0" w:type="dxa"/>
          </w:tblCellMar>
        </w:tblPrEx>
        <w:trPr>
          <w:trHeight w:val="264" w:hRule="atLeast"/>
        </w:trPr>
        <w:tc>
          <w:tcPr>
            <w:tcW w:w="1731"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226"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495"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1624"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226"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695" w:type="pct"/>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公开01表</w:t>
            </w:r>
          </w:p>
        </w:tc>
      </w:tr>
      <w:tr>
        <w:tblPrEx>
          <w:tblCellMar>
            <w:top w:w="0" w:type="dxa"/>
            <w:left w:w="0" w:type="dxa"/>
            <w:bottom w:w="0" w:type="dxa"/>
            <w:right w:w="0" w:type="dxa"/>
          </w:tblCellMar>
        </w:tblPrEx>
        <w:trPr>
          <w:trHeight w:val="264" w:hRule="atLeast"/>
        </w:trPr>
        <w:tc>
          <w:tcPr>
            <w:tcW w:w="1731" w:type="pct"/>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部门：东安县白牙市镇政府</w:t>
            </w:r>
          </w:p>
        </w:tc>
        <w:tc>
          <w:tcPr>
            <w:tcW w:w="226"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495"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1624"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226"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695" w:type="pct"/>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tblCellMar>
            <w:top w:w="0" w:type="dxa"/>
            <w:left w:w="0" w:type="dxa"/>
            <w:bottom w:w="0" w:type="dxa"/>
            <w:right w:w="0" w:type="dxa"/>
          </w:tblCellMar>
        </w:tblPrEx>
        <w:trPr>
          <w:trHeight w:val="308" w:hRule="atLeast"/>
        </w:trPr>
        <w:tc>
          <w:tcPr>
            <w:tcW w:w="2453" w:type="pct"/>
            <w:gridSpan w:val="3"/>
            <w:tcBorders>
              <w:top w:val="single" w:color="000000" w:sz="4" w:space="0"/>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收入</w:t>
            </w:r>
          </w:p>
        </w:tc>
        <w:tc>
          <w:tcPr>
            <w:tcW w:w="2546" w:type="pct"/>
            <w:gridSpan w:val="3"/>
            <w:tcBorders>
              <w:top w:val="single" w:color="000000" w:sz="4" w:space="0"/>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支出</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495"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w:t>
            </w: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695"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95"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95"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一、一般公共预算财政拨款收入</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14,832.00</w:t>
            </w: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一、一般公共服务支出</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1,078.00</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二、政府性基金预算财政拨款收入</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3,091.00</w:t>
            </w: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二、外交支出</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三、国有资本经营预算财政拨款收入</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三、国防支出</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四、上级补助收入</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四、公共安全支出</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五、事业收入</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五、教育支出</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11,663.00</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六、经营收入</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六、科学技术支出</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七、附属单位上缴收入</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七、文化旅游体育与传媒支出</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八、其他收入</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八、社会保障和就业支出</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446.00</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九、卫生健康支出</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441.00</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十、节能环保支出</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184.00</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十一、城乡社区支出</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3,091.00</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十二、农林水支出</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883.00</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十三、交通运输支出</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十四、资源勘探工业信息等支出</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十五、商业服务业等支出</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十六、金融支出</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十七、援助其他地区支出</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十八、自然资源海洋气象等支出</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十九、住房保障支出</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137.00</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二十、粮油物资储备支出</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二十一、国有资本经营预算支出</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二十二、灾害防治及应急管理支出</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二十三、其他支出</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center"/>
              <w:rPr>
                <w:rFonts w:hint="eastAsia" w:ascii="宋体" w:hAnsi="宋体" w:eastAsia="宋体" w:cs="宋体"/>
                <w:b/>
                <w:i w:val="0"/>
                <w:color w:val="000000"/>
                <w:sz w:val="20"/>
                <w:szCs w:val="20"/>
                <w:u w:val="none"/>
              </w:rPr>
            </w:pP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0"/>
                <w:szCs w:val="20"/>
                <w:u w:val="none"/>
              </w:rPr>
            </w:pP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二十四、债务还本支出</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0"/>
                <w:szCs w:val="20"/>
                <w:u w:val="none"/>
              </w:rPr>
            </w:pP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0"/>
                <w:szCs w:val="20"/>
                <w:u w:val="none"/>
              </w:rPr>
            </w:pP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二十五、债务付息支出</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56</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0"/>
                <w:szCs w:val="20"/>
                <w:u w:val="none"/>
              </w:rPr>
            </w:pP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0"/>
                <w:szCs w:val="20"/>
                <w:u w:val="none"/>
              </w:rPr>
            </w:pP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二十六、抗疫特别国债安排的支出</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本年收入合计</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17,923.00</w:t>
            </w: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本年支出合计</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17,923.00</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使用非财政拨款结余</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结余分配</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年初结转和结余</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年末结转和结余</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61</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1731"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226" w:type="pct"/>
            <w:tcBorders>
              <w:top w:val="nil"/>
              <w:left w:val="nil"/>
              <w:bottom w:val="single" w:color="000000" w:sz="8"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w:t>
            </w:r>
          </w:p>
        </w:tc>
        <w:tc>
          <w:tcPr>
            <w:tcW w:w="4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17,923.00</w:t>
            </w:r>
          </w:p>
        </w:tc>
        <w:tc>
          <w:tcPr>
            <w:tcW w:w="1624"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22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w:t>
            </w:r>
          </w:p>
        </w:tc>
        <w:tc>
          <w:tcPr>
            <w:tcW w:w="69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17,923.00</w:t>
            </w:r>
          </w:p>
        </w:tc>
      </w:tr>
      <w:tr>
        <w:tblPrEx>
          <w:tblCellMar>
            <w:top w:w="0" w:type="dxa"/>
            <w:left w:w="0" w:type="dxa"/>
            <w:bottom w:w="0" w:type="dxa"/>
            <w:right w:w="0" w:type="dxa"/>
          </w:tblCellMar>
        </w:tblPrEx>
        <w:trPr>
          <w:trHeight w:val="308" w:hRule="atLeast"/>
        </w:trPr>
        <w:tc>
          <w:tcPr>
            <w:tcW w:w="5000" w:type="pct"/>
            <w:gridSpan w:val="6"/>
            <w:tcBorders>
              <w:top w:val="nil"/>
              <w:left w:val="nil"/>
              <w:bottom w:val="nil"/>
              <w:right w:val="nil"/>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注：本表反映部门本年度的总收支和年末结转结余情况。本套报表金额单位转换时可能存在尾数误差。</w:t>
            </w:r>
          </w:p>
        </w:tc>
      </w:tr>
    </w:tbl>
    <w:p>
      <w:pPr>
        <w:rPr>
          <w:sz w:val="21"/>
        </w:rPr>
        <w:sectPr>
          <w:footerReference r:id="rId4" w:type="default"/>
          <w:pgSz w:w="16840" w:h="11910" w:orient="landscape"/>
          <w:pgMar w:top="1100" w:right="800" w:bottom="1160" w:left="800" w:header="0" w:footer="975" w:gutter="0"/>
          <w:pgBorders>
            <w:top w:val="none" w:sz="0" w:space="0"/>
            <w:left w:val="none" w:sz="0" w:space="0"/>
            <w:bottom w:val="none" w:sz="0" w:space="0"/>
            <w:right w:val="none" w:sz="0" w:space="0"/>
          </w:pgBorders>
          <w:cols w:space="720" w:num="1"/>
        </w:sectPr>
      </w:pPr>
    </w:p>
    <w:p>
      <w:pPr>
        <w:pStyle w:val="6"/>
        <w:rPr>
          <w:sz w:val="20"/>
        </w:rPr>
      </w:pPr>
    </w:p>
    <w:p>
      <w:pPr>
        <w:pStyle w:val="6"/>
        <w:rPr>
          <w:sz w:val="20"/>
        </w:rPr>
      </w:pPr>
    </w:p>
    <w:p>
      <w:pPr>
        <w:pStyle w:val="6"/>
        <w:spacing w:before="10"/>
        <w:rPr>
          <w:sz w:val="20"/>
        </w:rPr>
      </w:pPr>
    </w:p>
    <w:p>
      <w:pPr>
        <w:pStyle w:val="4"/>
      </w:pPr>
      <w:r>
        <w:t>收入决算表</w:t>
      </w:r>
    </w:p>
    <w:p>
      <w:pPr>
        <w:pStyle w:val="6"/>
        <w:spacing w:before="2"/>
        <w:rPr>
          <w:sz w:val="2"/>
        </w:rPr>
      </w:pPr>
    </w:p>
    <w:tbl>
      <w:tblPr>
        <w:tblStyle w:val="8"/>
        <w:tblW w:w="4998" w:type="pct"/>
        <w:tblInd w:w="0" w:type="dxa"/>
        <w:shd w:val="clear" w:color="auto" w:fill="auto"/>
        <w:tblLayout w:type="autofit"/>
        <w:tblCellMar>
          <w:top w:w="0" w:type="dxa"/>
          <w:left w:w="0" w:type="dxa"/>
          <w:bottom w:w="0" w:type="dxa"/>
          <w:right w:w="0" w:type="dxa"/>
        </w:tblCellMar>
      </w:tblPr>
      <w:tblGrid>
        <w:gridCol w:w="2424"/>
        <w:gridCol w:w="46"/>
        <w:gridCol w:w="49"/>
        <w:gridCol w:w="4204"/>
        <w:gridCol w:w="1185"/>
        <w:gridCol w:w="1185"/>
        <w:gridCol w:w="1185"/>
        <w:gridCol w:w="1185"/>
        <w:gridCol w:w="1185"/>
        <w:gridCol w:w="1185"/>
        <w:gridCol w:w="1425"/>
      </w:tblGrid>
      <w:tr>
        <w:tblPrEx>
          <w:shd w:val="clear" w:color="auto" w:fill="auto"/>
          <w:tblCellMar>
            <w:top w:w="0" w:type="dxa"/>
            <w:left w:w="0" w:type="dxa"/>
            <w:bottom w:w="0" w:type="dxa"/>
            <w:right w:w="0" w:type="dxa"/>
          </w:tblCellMar>
        </w:tblPrEx>
        <w:trPr>
          <w:trHeight w:val="264" w:hRule="atLeast"/>
        </w:trPr>
        <w:tc>
          <w:tcPr>
            <w:tcW w:w="598" w:type="pct"/>
            <w:tcBorders>
              <w:top w:val="nil"/>
              <w:left w:val="nil"/>
              <w:bottom w:val="nil"/>
              <w:right w:val="nil"/>
            </w:tcBorders>
            <w:shd w:val="clear" w:color="auto" w:fill="auto"/>
            <w:noWrap/>
            <w:tcMar>
              <w:top w:w="12" w:type="dxa"/>
              <w:left w:w="12" w:type="dxa"/>
              <w:right w:w="12" w:type="dxa"/>
            </w:tcMar>
            <w:vAlign w:val="bottom"/>
          </w:tcPr>
          <w:p>
            <w:pPr>
              <w:rPr>
                <w:rFonts w:hint="eastAsia" w:ascii="Arial" w:hAnsi="Arial" w:cs="Arial"/>
                <w:i w:val="0"/>
                <w:color w:val="000000"/>
                <w:sz w:val="20"/>
                <w:szCs w:val="20"/>
                <w:u w:val="none"/>
              </w:rPr>
            </w:pPr>
          </w:p>
        </w:tc>
        <w:tc>
          <w:tcPr>
            <w:tcW w:w="83"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83"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1037"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456"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456"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456"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456"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456"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456"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456" w:type="pct"/>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公开02表</w:t>
            </w:r>
          </w:p>
        </w:tc>
      </w:tr>
      <w:tr>
        <w:tblPrEx>
          <w:tblCellMar>
            <w:top w:w="0" w:type="dxa"/>
            <w:left w:w="0" w:type="dxa"/>
            <w:bottom w:w="0" w:type="dxa"/>
            <w:right w:w="0" w:type="dxa"/>
          </w:tblCellMar>
        </w:tblPrEx>
        <w:trPr>
          <w:trHeight w:val="264" w:hRule="atLeast"/>
        </w:trPr>
        <w:tc>
          <w:tcPr>
            <w:tcW w:w="598" w:type="pct"/>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部门：东安县白牙市镇政府</w:t>
            </w:r>
          </w:p>
        </w:tc>
        <w:tc>
          <w:tcPr>
            <w:tcW w:w="83"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83"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1037"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456"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456"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456"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456"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456"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456"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456" w:type="pct"/>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tblCellMar>
            <w:top w:w="0" w:type="dxa"/>
            <w:left w:w="0" w:type="dxa"/>
            <w:bottom w:w="0" w:type="dxa"/>
            <w:right w:w="0" w:type="dxa"/>
          </w:tblCellMar>
        </w:tblPrEx>
        <w:trPr>
          <w:trHeight w:val="308" w:hRule="atLeast"/>
        </w:trPr>
        <w:tc>
          <w:tcPr>
            <w:tcW w:w="1802" w:type="pct"/>
            <w:gridSpan w:val="4"/>
            <w:tcBorders>
              <w:top w:val="single" w:color="000000" w:sz="4" w:space="0"/>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456" w:type="pct"/>
            <w:vMerge w:val="restart"/>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本年收入合计</w:t>
            </w:r>
          </w:p>
        </w:tc>
        <w:tc>
          <w:tcPr>
            <w:tcW w:w="456" w:type="pct"/>
            <w:vMerge w:val="restart"/>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财政拨款收入</w:t>
            </w:r>
          </w:p>
        </w:tc>
        <w:tc>
          <w:tcPr>
            <w:tcW w:w="456" w:type="pct"/>
            <w:vMerge w:val="restart"/>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上级补助收入</w:t>
            </w:r>
          </w:p>
        </w:tc>
        <w:tc>
          <w:tcPr>
            <w:tcW w:w="456" w:type="pct"/>
            <w:vMerge w:val="restart"/>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事业收入</w:t>
            </w:r>
          </w:p>
        </w:tc>
        <w:tc>
          <w:tcPr>
            <w:tcW w:w="456" w:type="pct"/>
            <w:vMerge w:val="restart"/>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经营收入</w:t>
            </w:r>
          </w:p>
        </w:tc>
        <w:tc>
          <w:tcPr>
            <w:tcW w:w="456" w:type="pct"/>
            <w:vMerge w:val="restart"/>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附属单位上缴收入</w:t>
            </w:r>
          </w:p>
        </w:tc>
        <w:tc>
          <w:tcPr>
            <w:tcW w:w="456" w:type="pct"/>
            <w:vMerge w:val="restart"/>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其他收入</w:t>
            </w:r>
          </w:p>
        </w:tc>
      </w:tr>
      <w:tr>
        <w:tblPrEx>
          <w:tblCellMar>
            <w:top w:w="0" w:type="dxa"/>
            <w:left w:w="0" w:type="dxa"/>
            <w:bottom w:w="0" w:type="dxa"/>
            <w:right w:w="0" w:type="dxa"/>
          </w:tblCellMar>
        </w:tblPrEx>
        <w:trPr>
          <w:trHeight w:val="308" w:hRule="atLeast"/>
        </w:trPr>
        <w:tc>
          <w:tcPr>
            <w:tcW w:w="765" w:type="pct"/>
            <w:gridSpan w:val="3"/>
            <w:vMerge w:val="restart"/>
            <w:tcBorders>
              <w:top w:val="nil"/>
              <w:left w:val="single" w:color="000000" w:sz="4" w:space="0"/>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功能分类科目编码</w:t>
            </w:r>
          </w:p>
        </w:tc>
        <w:tc>
          <w:tcPr>
            <w:tcW w:w="1037" w:type="pct"/>
            <w:vMerge w:val="restar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456"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56"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56"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56"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56"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56"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56"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765" w:type="pct"/>
            <w:gridSpan w:val="3"/>
            <w:vMerge w:val="continue"/>
            <w:tcBorders>
              <w:top w:val="nil"/>
              <w:left w:val="single" w:color="000000" w:sz="4" w:space="0"/>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037" w:type="pct"/>
            <w:vMerge w:val="continue"/>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56"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56"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56"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56"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56"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56"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56"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765" w:type="pct"/>
            <w:gridSpan w:val="3"/>
            <w:vMerge w:val="continue"/>
            <w:tcBorders>
              <w:top w:val="nil"/>
              <w:left w:val="single" w:color="000000" w:sz="4" w:space="0"/>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037" w:type="pct"/>
            <w:vMerge w:val="continue"/>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56"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56"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56"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56"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56"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56"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56"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1802" w:type="pct"/>
            <w:gridSpan w:val="4"/>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456" w:type="pc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456" w:type="pc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456" w:type="pc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456" w:type="pc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456" w:type="pc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456" w:type="pc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456" w:type="pc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r>
      <w:tr>
        <w:tblPrEx>
          <w:tblCellMar>
            <w:top w:w="0" w:type="dxa"/>
            <w:left w:w="0" w:type="dxa"/>
            <w:bottom w:w="0" w:type="dxa"/>
            <w:right w:w="0" w:type="dxa"/>
          </w:tblCellMar>
        </w:tblPrEx>
        <w:trPr>
          <w:trHeight w:val="308" w:hRule="atLeast"/>
        </w:trPr>
        <w:tc>
          <w:tcPr>
            <w:tcW w:w="1802" w:type="pct"/>
            <w:gridSpan w:val="4"/>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17,923.00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17,923.00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一般公共服务支出</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1,078.00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1,078.00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20103</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政府办公厅（室）及相关机构事务</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1,078.00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1,078.00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2010301</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行政运行</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1,078.00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1,078.00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教育支出</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11,663.00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11,663.00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普通教育</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10,142.00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10,142.00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2050201</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学前教育</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306.00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306.00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2050202</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小学教育</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2,769.00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2,769.00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2050203</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初中教育</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2,380.00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2,380.00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2050204</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高中教育</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4,687.00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4,687.00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20503</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职业教育</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1,521.00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1,521.00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2050302</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中等职业教育</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1,521.00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1,521.00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社会保障和就业支出</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446.00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446.00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20802</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民政管理事务</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263.00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263.00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2080208</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基层政权建设和社区治理</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263.00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263.00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行政事业单位养老支出</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183.00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183.00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2080507</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对机关事业单位基本养老保险基金的补助</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183.00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183.00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卫生健康支出</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441.00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441.00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21003</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基层医疗卫生机构</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2100302</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乡镇卫生院</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21012</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财政对基本医疗保险基金的补助</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91.00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91.00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2101201</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财政对职工基本医疗保险基金的补助</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91.00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91.00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节能环保支出</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184.00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184.00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21104</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自然生态保护</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2110402</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农村环境保护</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21199</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其他节能环保支出</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131.00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131.00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2119901</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其他节能环保支出</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131.00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131.00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212</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城乡社区支出</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3,091.00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3,091.00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21208</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国有土地使用权出让收入安排的支出</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3,091.00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3,091.00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2120899</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其他国有土地使用权出让收入安排的支出</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3,091.00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3,091.00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农林水支出</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883.00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883.00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林业和草原</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2130209</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森林生态效益补偿</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21307</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农村综合改革</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824.00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824.00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2130701</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对村级一事一议的补助</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93.00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93.00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2130705</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对村民委员会和村党支部的补助</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631.00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631.00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2130706</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对村集体经济组织的补助</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住房保障支出</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137.00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137.00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住房改革支出</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137.00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137.00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765"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2210201</w:t>
            </w:r>
          </w:p>
        </w:tc>
        <w:tc>
          <w:tcPr>
            <w:tcW w:w="10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住房公积金</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137.00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137.00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5000" w:type="pct"/>
            <w:gridSpan w:val="11"/>
            <w:tcBorders>
              <w:top w:val="nil"/>
              <w:left w:val="nil"/>
              <w:bottom w:val="nil"/>
              <w:right w:val="nil"/>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注：本表反映部门本年度取得的各项收入情况。</w:t>
            </w:r>
          </w:p>
        </w:tc>
      </w:tr>
    </w:tbl>
    <w:p>
      <w:pPr>
        <w:pStyle w:val="6"/>
        <w:spacing w:before="6"/>
        <w:rPr>
          <w:sz w:val="20"/>
        </w:rPr>
      </w:pPr>
    </w:p>
    <w:p>
      <w:r>
        <w:br w:type="page"/>
      </w:r>
    </w:p>
    <w:p/>
    <w:p>
      <w:pPr>
        <w:pStyle w:val="4"/>
      </w:pPr>
      <w:r>
        <w:t>支出决算表</w:t>
      </w:r>
    </w:p>
    <w:p>
      <w:pPr>
        <w:pStyle w:val="6"/>
        <w:spacing w:before="5"/>
        <w:rPr>
          <w:rFonts w:ascii="Times New Roman"/>
          <w:sz w:val="2"/>
        </w:rPr>
      </w:pPr>
    </w:p>
    <w:tbl>
      <w:tblPr>
        <w:tblStyle w:val="8"/>
        <w:tblW w:w="4998" w:type="pct"/>
        <w:tblInd w:w="0" w:type="dxa"/>
        <w:shd w:val="clear" w:color="auto" w:fill="auto"/>
        <w:tblLayout w:type="autofit"/>
        <w:tblCellMar>
          <w:top w:w="0" w:type="dxa"/>
          <w:left w:w="0" w:type="dxa"/>
          <w:bottom w:w="0" w:type="dxa"/>
          <w:right w:w="0" w:type="dxa"/>
        </w:tblCellMar>
      </w:tblPr>
      <w:tblGrid>
        <w:gridCol w:w="2424"/>
        <w:gridCol w:w="135"/>
        <w:gridCol w:w="136"/>
        <w:gridCol w:w="4204"/>
        <w:gridCol w:w="1387"/>
        <w:gridCol w:w="1387"/>
        <w:gridCol w:w="1387"/>
        <w:gridCol w:w="1387"/>
        <w:gridCol w:w="1387"/>
        <w:gridCol w:w="1424"/>
      </w:tblGrid>
      <w:tr>
        <w:tblPrEx>
          <w:shd w:val="clear" w:color="auto" w:fill="auto"/>
          <w:tblCellMar>
            <w:top w:w="0" w:type="dxa"/>
            <w:left w:w="0" w:type="dxa"/>
            <w:bottom w:w="0" w:type="dxa"/>
            <w:right w:w="0" w:type="dxa"/>
          </w:tblCellMar>
        </w:tblPrEx>
        <w:trPr>
          <w:trHeight w:val="264" w:hRule="atLeast"/>
        </w:trPr>
        <w:tc>
          <w:tcPr>
            <w:tcW w:w="658" w:type="pct"/>
            <w:tcBorders>
              <w:top w:val="nil"/>
              <w:left w:val="nil"/>
              <w:bottom w:val="nil"/>
              <w:right w:val="nil"/>
            </w:tcBorders>
            <w:shd w:val="clear" w:color="auto" w:fill="auto"/>
            <w:noWrap/>
            <w:tcMar>
              <w:top w:w="12" w:type="dxa"/>
              <w:left w:w="12" w:type="dxa"/>
              <w:right w:w="12" w:type="dxa"/>
            </w:tcMar>
            <w:vAlign w:val="bottom"/>
          </w:tcPr>
          <w:p>
            <w:pPr>
              <w:rPr>
                <w:rFonts w:hint="eastAsia" w:ascii="Arial" w:hAnsi="Arial" w:cs="Arial"/>
                <w:i w:val="0"/>
                <w:color w:val="000000"/>
                <w:sz w:val="20"/>
                <w:szCs w:val="20"/>
                <w:u w:val="none"/>
              </w:rPr>
            </w:pPr>
          </w:p>
        </w:tc>
        <w:tc>
          <w:tcPr>
            <w:tcW w:w="92"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92"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1141"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502"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502"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502"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502"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502"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502" w:type="pct"/>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公开03表</w:t>
            </w:r>
          </w:p>
        </w:tc>
      </w:tr>
      <w:tr>
        <w:tblPrEx>
          <w:tblCellMar>
            <w:top w:w="0" w:type="dxa"/>
            <w:left w:w="0" w:type="dxa"/>
            <w:bottom w:w="0" w:type="dxa"/>
            <w:right w:w="0" w:type="dxa"/>
          </w:tblCellMar>
        </w:tblPrEx>
        <w:trPr>
          <w:trHeight w:val="264" w:hRule="atLeast"/>
        </w:trPr>
        <w:tc>
          <w:tcPr>
            <w:tcW w:w="658" w:type="pct"/>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部门：东安县白牙市镇政府</w:t>
            </w:r>
          </w:p>
        </w:tc>
        <w:tc>
          <w:tcPr>
            <w:tcW w:w="92"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92"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1141"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502"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502"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502"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502"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502"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502" w:type="pct"/>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tblCellMar>
            <w:top w:w="0" w:type="dxa"/>
            <w:left w:w="0" w:type="dxa"/>
            <w:bottom w:w="0" w:type="dxa"/>
            <w:right w:w="0" w:type="dxa"/>
          </w:tblCellMar>
        </w:tblPrEx>
        <w:trPr>
          <w:trHeight w:val="308" w:hRule="atLeast"/>
        </w:trPr>
        <w:tc>
          <w:tcPr>
            <w:tcW w:w="1984" w:type="pct"/>
            <w:gridSpan w:val="4"/>
            <w:tcBorders>
              <w:top w:val="single" w:color="000000" w:sz="4" w:space="0"/>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502" w:type="pct"/>
            <w:vMerge w:val="restart"/>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本年支出合计</w:t>
            </w:r>
          </w:p>
        </w:tc>
        <w:tc>
          <w:tcPr>
            <w:tcW w:w="502" w:type="pct"/>
            <w:vMerge w:val="restart"/>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502" w:type="pct"/>
            <w:vMerge w:val="restart"/>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c>
          <w:tcPr>
            <w:tcW w:w="502" w:type="pct"/>
            <w:vMerge w:val="restart"/>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上缴上级支出</w:t>
            </w:r>
          </w:p>
        </w:tc>
        <w:tc>
          <w:tcPr>
            <w:tcW w:w="502" w:type="pct"/>
            <w:vMerge w:val="restart"/>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经营支出</w:t>
            </w:r>
          </w:p>
        </w:tc>
        <w:tc>
          <w:tcPr>
            <w:tcW w:w="502" w:type="pct"/>
            <w:vMerge w:val="restart"/>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对附属单位补助支出</w:t>
            </w:r>
          </w:p>
        </w:tc>
      </w:tr>
      <w:tr>
        <w:tblPrEx>
          <w:tblCellMar>
            <w:top w:w="0" w:type="dxa"/>
            <w:left w:w="0" w:type="dxa"/>
            <w:bottom w:w="0" w:type="dxa"/>
            <w:right w:w="0" w:type="dxa"/>
          </w:tblCellMar>
        </w:tblPrEx>
        <w:trPr>
          <w:trHeight w:val="308" w:hRule="atLeast"/>
        </w:trPr>
        <w:tc>
          <w:tcPr>
            <w:tcW w:w="842" w:type="pct"/>
            <w:gridSpan w:val="3"/>
            <w:vMerge w:val="restart"/>
            <w:tcBorders>
              <w:top w:val="nil"/>
              <w:left w:val="single" w:color="000000" w:sz="4" w:space="0"/>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功能分类科目编码</w:t>
            </w:r>
          </w:p>
        </w:tc>
        <w:tc>
          <w:tcPr>
            <w:tcW w:w="1141" w:type="pct"/>
            <w:vMerge w:val="restar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502"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502"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502"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502"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502"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502"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842" w:type="pct"/>
            <w:gridSpan w:val="3"/>
            <w:vMerge w:val="continue"/>
            <w:tcBorders>
              <w:top w:val="nil"/>
              <w:left w:val="single" w:color="000000" w:sz="4" w:space="0"/>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141" w:type="pct"/>
            <w:vMerge w:val="continue"/>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502"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502"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502"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502"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502"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502"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842" w:type="pct"/>
            <w:gridSpan w:val="3"/>
            <w:vMerge w:val="continue"/>
            <w:tcBorders>
              <w:top w:val="nil"/>
              <w:left w:val="single" w:color="000000" w:sz="4" w:space="0"/>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141" w:type="pct"/>
            <w:vMerge w:val="continue"/>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502"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502"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502"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502"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502"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502"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1984" w:type="pct"/>
            <w:gridSpan w:val="4"/>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502" w:type="pc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502" w:type="pc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502" w:type="pc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502" w:type="pc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502" w:type="pc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502" w:type="pc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r>
      <w:tr>
        <w:tblPrEx>
          <w:tblCellMar>
            <w:top w:w="0" w:type="dxa"/>
            <w:left w:w="0" w:type="dxa"/>
            <w:bottom w:w="0" w:type="dxa"/>
            <w:right w:w="0" w:type="dxa"/>
          </w:tblCellMar>
        </w:tblPrEx>
        <w:trPr>
          <w:trHeight w:val="308" w:hRule="atLeast"/>
        </w:trPr>
        <w:tc>
          <w:tcPr>
            <w:tcW w:w="1984" w:type="pct"/>
            <w:gridSpan w:val="4"/>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17,923.00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16,856.00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1,067.00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一般公共服务支出</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1,078.00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1,078.00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20103</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政府办公厅（室）及相关机构事务</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1,078.00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1,078.00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2010301</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行政运行</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1,078.00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1,078.00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教育支出</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11,663.00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11,663.00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普通教育</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10,142.00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10,142.00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2050201</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学前教育</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306.00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306.00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2050202</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小学教育</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2,769.00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2,769.00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2050203</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初中教育</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2,380.00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2,380.00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2050204</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高中教育</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4,687.00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4,687.00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20503</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职业教育</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1,521.00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1,521.00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2050302</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中等职业教育</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1,521.00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1,521.00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社会保障和就业支出</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446.00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446.00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20802</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民政管理事务</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263.00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263.00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2080208</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基层政权建设和社区治理</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263.00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263.00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行政事业单位养老支出</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183.00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183.00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2080507</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对机关事业单位基本养老保险基金的补助</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183.00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183.00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卫生健康支出</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441.00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441.00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21003</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基层医疗卫生机构</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2100302</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乡镇卫生院</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21012</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财政对基本医疗保险基金的补助</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91.00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91.00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2101201</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财政对职工基本医疗保险基金的补助</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91.00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91.00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节能环保支出</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184.00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184.00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21104</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自然生态保护</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2110402</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农村环境保护</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21199</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其他节能环保支出</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131.00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131.00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2119901</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其他节能环保支出</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131.00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131.00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212</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城乡社区支出</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3,091.00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3,091.00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21208</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国有土地使用权出让收入安排的支出</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3,091.00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3,091.00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2120899</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其他国有土地使用权出让收入安排的支出</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3,091.00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3,091.00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农林水支出</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883.00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883.00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林业和草原</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2130209</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森林生态效益补偿</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21307</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农村综合改革</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824.00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824.00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2130701</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对村级一事一议的补助</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93.00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93.00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2130705</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对村民委员会和村党支部的补助</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631.00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631.00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2130706</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对村集体经济组织的补助</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住房保障支出</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137.00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137.00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住房改革支出</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137.00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137.00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42"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2210201</w:t>
            </w:r>
          </w:p>
        </w:tc>
        <w:tc>
          <w:tcPr>
            <w:tcW w:w="114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住房公积金</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137.00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137.00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5000" w:type="pct"/>
            <w:gridSpan w:val="10"/>
            <w:tcBorders>
              <w:top w:val="nil"/>
              <w:left w:val="nil"/>
              <w:bottom w:val="nil"/>
              <w:right w:val="nil"/>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注：本表反映部门本年度各项支出情况。</w:t>
            </w:r>
          </w:p>
        </w:tc>
      </w:tr>
    </w:tbl>
    <w:p>
      <w:pPr>
        <w:jc w:val="right"/>
        <w:rPr>
          <w:sz w:val="21"/>
        </w:rPr>
        <w:sectPr>
          <w:footerReference r:id="rId5" w:type="default"/>
          <w:pgSz w:w="16840" w:h="11910" w:orient="landscape"/>
          <w:pgMar w:top="1100" w:right="800" w:bottom="1080" w:left="800" w:header="0" w:footer="895" w:gutter="0"/>
          <w:pgBorders>
            <w:top w:val="none" w:sz="0" w:space="0"/>
            <w:left w:val="none" w:sz="0" w:space="0"/>
            <w:bottom w:val="none" w:sz="0" w:space="0"/>
            <w:right w:val="none" w:sz="0" w:space="0"/>
          </w:pgBorders>
          <w:cols w:space="720" w:num="1"/>
        </w:sectPr>
      </w:pPr>
    </w:p>
    <w:p>
      <w:pPr>
        <w:pStyle w:val="6"/>
        <w:spacing w:before="5"/>
        <w:rPr>
          <w:rFonts w:ascii="Times New Roman"/>
          <w:sz w:val="2"/>
        </w:rPr>
      </w:pPr>
    </w:p>
    <w:p>
      <w:pPr>
        <w:pStyle w:val="6"/>
        <w:rPr>
          <w:sz w:val="20"/>
        </w:rPr>
      </w:pPr>
    </w:p>
    <w:p>
      <w:pPr>
        <w:pStyle w:val="6"/>
        <w:spacing w:before="5"/>
        <w:rPr>
          <w:sz w:val="16"/>
        </w:rPr>
      </w:pPr>
    </w:p>
    <w:p>
      <w:pPr>
        <w:pStyle w:val="4"/>
      </w:pPr>
      <w:r>
        <w:t>财政拨款收入支出决算总表</w:t>
      </w:r>
    </w:p>
    <w:p>
      <w:pPr>
        <w:pStyle w:val="6"/>
        <w:spacing w:before="2"/>
        <w:rPr>
          <w:sz w:val="2"/>
        </w:rPr>
      </w:pPr>
    </w:p>
    <w:p>
      <w:pPr>
        <w:pStyle w:val="6"/>
        <w:spacing w:before="11"/>
        <w:rPr>
          <w:sz w:val="14"/>
        </w:rPr>
      </w:pPr>
    </w:p>
    <w:tbl>
      <w:tblPr>
        <w:tblStyle w:val="8"/>
        <w:tblW w:w="4998" w:type="pct"/>
        <w:tblInd w:w="0" w:type="dxa"/>
        <w:shd w:val="clear" w:color="auto" w:fill="auto"/>
        <w:tblLayout w:type="autofit"/>
        <w:tblCellMar>
          <w:top w:w="0" w:type="dxa"/>
          <w:left w:w="0" w:type="dxa"/>
          <w:bottom w:w="0" w:type="dxa"/>
          <w:right w:w="0" w:type="dxa"/>
        </w:tblCellMar>
      </w:tblPr>
      <w:tblGrid>
        <w:gridCol w:w="3006"/>
        <w:gridCol w:w="522"/>
        <w:gridCol w:w="1547"/>
        <w:gridCol w:w="3367"/>
        <w:gridCol w:w="522"/>
        <w:gridCol w:w="1544"/>
        <w:gridCol w:w="1544"/>
        <w:gridCol w:w="1551"/>
        <w:gridCol w:w="1655"/>
      </w:tblGrid>
      <w:tr>
        <w:tblPrEx>
          <w:shd w:val="clear" w:color="auto" w:fill="auto"/>
          <w:tblCellMar>
            <w:top w:w="0" w:type="dxa"/>
            <w:left w:w="0" w:type="dxa"/>
            <w:bottom w:w="0" w:type="dxa"/>
            <w:right w:w="0" w:type="dxa"/>
          </w:tblCellMar>
        </w:tblPrEx>
        <w:trPr>
          <w:trHeight w:val="264" w:hRule="atLeast"/>
        </w:trPr>
        <w:tc>
          <w:tcPr>
            <w:tcW w:w="985" w:type="pct"/>
            <w:tcBorders>
              <w:top w:val="nil"/>
              <w:left w:val="nil"/>
              <w:bottom w:val="nil"/>
              <w:right w:val="nil"/>
            </w:tcBorders>
            <w:shd w:val="clear" w:color="auto" w:fill="auto"/>
            <w:noWrap/>
            <w:tcMar>
              <w:top w:w="12" w:type="dxa"/>
              <w:left w:w="12" w:type="dxa"/>
              <w:right w:w="12" w:type="dxa"/>
            </w:tcMar>
            <w:vAlign w:val="bottom"/>
          </w:tcPr>
          <w:p>
            <w:pPr>
              <w:rPr>
                <w:rFonts w:hint="eastAsia" w:ascii="Arial" w:hAnsi="Arial" w:cs="Arial"/>
                <w:i w:val="0"/>
                <w:color w:val="000000"/>
                <w:sz w:val="20"/>
                <w:szCs w:val="20"/>
                <w:u w:val="none"/>
              </w:rPr>
            </w:pPr>
          </w:p>
        </w:tc>
        <w:tc>
          <w:tcPr>
            <w:tcW w:w="171"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506"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1103"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171"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506"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506"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506"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542" w:type="pct"/>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公开04表</w:t>
            </w:r>
          </w:p>
        </w:tc>
      </w:tr>
      <w:tr>
        <w:tblPrEx>
          <w:tblCellMar>
            <w:top w:w="0" w:type="dxa"/>
            <w:left w:w="0" w:type="dxa"/>
            <w:bottom w:w="0" w:type="dxa"/>
            <w:right w:w="0" w:type="dxa"/>
          </w:tblCellMar>
        </w:tblPrEx>
        <w:trPr>
          <w:trHeight w:val="264" w:hRule="atLeast"/>
        </w:trPr>
        <w:tc>
          <w:tcPr>
            <w:tcW w:w="985" w:type="pct"/>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部门：东安县白牙市镇政府</w:t>
            </w:r>
          </w:p>
        </w:tc>
        <w:tc>
          <w:tcPr>
            <w:tcW w:w="171"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506"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1103"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171"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506"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506"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506"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542" w:type="pct"/>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tblCellMar>
            <w:top w:w="0" w:type="dxa"/>
            <w:left w:w="0" w:type="dxa"/>
            <w:bottom w:w="0" w:type="dxa"/>
            <w:right w:w="0" w:type="dxa"/>
          </w:tblCellMar>
        </w:tblPrEx>
        <w:trPr>
          <w:trHeight w:val="308" w:hRule="atLeast"/>
        </w:trPr>
        <w:tc>
          <w:tcPr>
            <w:tcW w:w="1663" w:type="pct"/>
            <w:gridSpan w:val="3"/>
            <w:tcBorders>
              <w:top w:val="single" w:color="000000" w:sz="4" w:space="0"/>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收     入</w:t>
            </w:r>
          </w:p>
        </w:tc>
        <w:tc>
          <w:tcPr>
            <w:tcW w:w="3336" w:type="pct"/>
            <w:gridSpan w:val="6"/>
            <w:tcBorders>
              <w:top w:val="single" w:color="000000" w:sz="4" w:space="0"/>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     出</w:t>
            </w:r>
          </w:p>
        </w:tc>
      </w:tr>
      <w:tr>
        <w:tblPrEx>
          <w:tblCellMar>
            <w:top w:w="0" w:type="dxa"/>
            <w:left w:w="0" w:type="dxa"/>
            <w:bottom w:w="0" w:type="dxa"/>
            <w:right w:w="0" w:type="dxa"/>
          </w:tblCellMar>
        </w:tblPrEx>
        <w:trPr>
          <w:trHeight w:val="292" w:hRule="atLeast"/>
        </w:trPr>
        <w:tc>
          <w:tcPr>
            <w:tcW w:w="985" w:type="pct"/>
            <w:vMerge w:val="restart"/>
            <w:tcBorders>
              <w:top w:val="nil"/>
              <w:left w:val="single" w:color="000000" w:sz="4" w:space="0"/>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171" w:type="pct"/>
            <w:vMerge w:val="restar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506" w:type="pct"/>
            <w:vMerge w:val="restar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w:t>
            </w:r>
          </w:p>
        </w:tc>
        <w:tc>
          <w:tcPr>
            <w:tcW w:w="1103" w:type="pct"/>
            <w:vMerge w:val="restar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171" w:type="pct"/>
            <w:vMerge w:val="restar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506" w:type="pct"/>
            <w:vMerge w:val="restar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506" w:type="pct"/>
            <w:vMerge w:val="restar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一般公共预算财政拨款</w:t>
            </w:r>
          </w:p>
        </w:tc>
        <w:tc>
          <w:tcPr>
            <w:tcW w:w="506" w:type="pct"/>
            <w:vMerge w:val="restar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政府性基金预算财政拨款</w:t>
            </w:r>
          </w:p>
        </w:tc>
        <w:tc>
          <w:tcPr>
            <w:tcW w:w="542" w:type="pct"/>
            <w:vMerge w:val="restar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国有资本经营预算财政拨款</w:t>
            </w:r>
          </w:p>
        </w:tc>
      </w:tr>
      <w:tr>
        <w:tblPrEx>
          <w:tblCellMar>
            <w:top w:w="0" w:type="dxa"/>
            <w:left w:w="0" w:type="dxa"/>
            <w:bottom w:w="0" w:type="dxa"/>
            <w:right w:w="0" w:type="dxa"/>
          </w:tblCellMar>
        </w:tblPrEx>
        <w:trPr>
          <w:trHeight w:val="615" w:hRule="atLeast"/>
        </w:trPr>
        <w:tc>
          <w:tcPr>
            <w:tcW w:w="985" w:type="pct"/>
            <w:vMerge w:val="continue"/>
            <w:tcBorders>
              <w:top w:val="nil"/>
              <w:left w:val="single" w:color="000000" w:sz="4" w:space="0"/>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71"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506"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103"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71"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506" w:type="pct"/>
            <w:vMerge w:val="continue"/>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506"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506"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542"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50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50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50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506"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542"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一、一般公共预算财政拨款</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14,832.00</w:t>
            </w: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一、一般公共服务支出</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1,078.00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1,078.00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二、政府性基金预算财政拨款</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3,091.00</w:t>
            </w: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二、外交支出</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三、国有资本经营财政拨款</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三、国防支出</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四、公共安全支出</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五、教育支出</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11,663.00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11,663.00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六、科学技术支出</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七、文化旅游体育与传媒支出</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八、社会保障和就业支出</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446.00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446.00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九、卫生健康支出</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441.00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441.00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十、节能环保支出</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184.00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184.00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十一、城乡社区支出</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3,091.00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3,091.00</w:t>
            </w: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十二、农林水支出</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883.00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883.00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十三、交通运输支出</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十四、资源勘探工业信息等支出</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十五、商业服务业等支出</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十六、金融支出</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十七、援助其他地区支出</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十八、自然资源海洋气象等支出</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十九、住房保障支出</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137.00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137.00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二十、粮油物资储备支出</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二十一、国有资本经营预算支出</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二十二、灾害防治及应急管理支出</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二十三、其他支出</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center"/>
              <w:rPr>
                <w:rFonts w:hint="eastAsia" w:ascii="宋体" w:hAnsi="宋体" w:eastAsia="宋体" w:cs="宋体"/>
                <w:b/>
                <w:i w:val="0"/>
                <w:color w:val="000000"/>
                <w:sz w:val="20"/>
                <w:szCs w:val="20"/>
                <w:u w:val="none"/>
              </w:rPr>
            </w:pP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二十四、债务还本支出</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56</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0"/>
                <w:szCs w:val="20"/>
                <w:u w:val="none"/>
              </w:rPr>
            </w:pP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二十五、债务付息支出</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0"/>
                <w:szCs w:val="20"/>
                <w:u w:val="none"/>
              </w:rPr>
            </w:pP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二十六、抗疫特别国债安排的支出</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本年收入合计</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17,923.00</w:t>
            </w: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本年支出合计</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17,923.00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14,832.00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3,091.00</w:t>
            </w: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年初财政拨款结转和结余</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年末财政拨款结转和结余</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一般公共预算财政拨款</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61</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政府性基金预算财政拨款</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国有资本经营预算财政拨款</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63</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98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171" w:type="pct"/>
            <w:tcBorders>
              <w:top w:val="nil"/>
              <w:left w:val="nil"/>
              <w:bottom w:val="single" w:color="000000" w:sz="8"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17,923.00</w:t>
            </w:r>
          </w:p>
        </w:tc>
        <w:tc>
          <w:tcPr>
            <w:tcW w:w="110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171"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64</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17,923.00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14,832.00</w:t>
            </w:r>
          </w:p>
        </w:tc>
        <w:tc>
          <w:tcPr>
            <w:tcW w:w="50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3,091.00</w:t>
            </w:r>
          </w:p>
        </w:tc>
        <w:tc>
          <w:tcPr>
            <w:tcW w:w="54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4457" w:type="pct"/>
            <w:gridSpan w:val="8"/>
            <w:tcBorders>
              <w:top w:val="nil"/>
              <w:left w:val="nil"/>
              <w:bottom w:val="nil"/>
              <w:right w:val="nil"/>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542" w:type="pct"/>
            <w:tcBorders>
              <w:top w:val="nil"/>
              <w:left w:val="nil"/>
              <w:bottom w:val="nil"/>
              <w:right w:val="nil"/>
            </w:tcBorders>
            <w:shd w:val="clear" w:color="auto" w:fill="auto"/>
            <w:noWrap/>
            <w:tcMar>
              <w:top w:w="12" w:type="dxa"/>
              <w:left w:w="12" w:type="dxa"/>
              <w:right w:w="12" w:type="dxa"/>
            </w:tcMar>
            <w:vAlign w:val="center"/>
          </w:tcPr>
          <w:p>
            <w:pPr>
              <w:jc w:val="left"/>
              <w:rPr>
                <w:rFonts w:hint="eastAsia" w:ascii="宋体" w:hAnsi="宋体" w:eastAsia="宋体" w:cs="宋体"/>
                <w:i w:val="0"/>
                <w:color w:val="000000"/>
                <w:sz w:val="20"/>
                <w:szCs w:val="20"/>
                <w:u w:val="none"/>
              </w:rPr>
            </w:pPr>
          </w:p>
        </w:tc>
      </w:tr>
    </w:tbl>
    <w:p>
      <w:pPr>
        <w:rPr>
          <w:sz w:val="21"/>
        </w:rPr>
        <w:sectPr>
          <w:pgSz w:w="16840" w:h="11910" w:orient="landscape"/>
          <w:pgMar w:top="1100" w:right="800" w:bottom="1160" w:left="800" w:header="0" w:footer="895" w:gutter="0"/>
          <w:pgBorders>
            <w:top w:val="none" w:sz="0" w:space="0"/>
            <w:left w:val="none" w:sz="0" w:space="0"/>
            <w:bottom w:val="none" w:sz="0" w:space="0"/>
            <w:right w:val="none" w:sz="0" w:space="0"/>
          </w:pgBorders>
          <w:cols w:space="720" w:num="1"/>
        </w:sectPr>
      </w:pPr>
    </w:p>
    <w:p>
      <w:pPr>
        <w:pStyle w:val="6"/>
        <w:rPr>
          <w:sz w:val="20"/>
        </w:rPr>
      </w:pPr>
    </w:p>
    <w:p>
      <w:pPr>
        <w:pStyle w:val="6"/>
        <w:spacing w:before="5"/>
        <w:rPr>
          <w:sz w:val="16"/>
        </w:rPr>
      </w:pPr>
    </w:p>
    <w:p>
      <w:pPr>
        <w:pStyle w:val="4"/>
        <w:ind w:left="4919"/>
        <w:jc w:val="left"/>
      </w:pPr>
      <w:r>
        <w:t>一般公共预算财政拨款支出决算表</w:t>
      </w:r>
    </w:p>
    <w:p>
      <w:pPr>
        <w:pStyle w:val="6"/>
        <w:spacing w:before="5"/>
        <w:rPr>
          <w:rFonts w:ascii="Times New Roman"/>
          <w:sz w:val="2"/>
        </w:rPr>
      </w:pPr>
    </w:p>
    <w:tbl>
      <w:tblPr>
        <w:tblStyle w:val="8"/>
        <w:tblW w:w="4999" w:type="pct"/>
        <w:tblInd w:w="0" w:type="dxa"/>
        <w:shd w:val="clear" w:color="auto" w:fill="auto"/>
        <w:tblLayout w:type="autofit"/>
        <w:tblCellMar>
          <w:top w:w="0" w:type="dxa"/>
          <w:left w:w="0" w:type="dxa"/>
          <w:bottom w:w="0" w:type="dxa"/>
          <w:right w:w="0" w:type="dxa"/>
        </w:tblCellMar>
      </w:tblPr>
      <w:tblGrid>
        <w:gridCol w:w="2594"/>
        <w:gridCol w:w="360"/>
        <w:gridCol w:w="366"/>
        <w:gridCol w:w="4502"/>
        <w:gridCol w:w="2478"/>
        <w:gridCol w:w="2479"/>
        <w:gridCol w:w="2482"/>
      </w:tblGrid>
      <w:tr>
        <w:tblPrEx>
          <w:shd w:val="clear" w:color="auto" w:fill="auto"/>
          <w:tblCellMar>
            <w:top w:w="0" w:type="dxa"/>
            <w:left w:w="0" w:type="dxa"/>
            <w:bottom w:w="0" w:type="dxa"/>
            <w:right w:w="0" w:type="dxa"/>
          </w:tblCellMar>
        </w:tblPrEx>
        <w:trPr>
          <w:trHeight w:val="264" w:hRule="atLeast"/>
        </w:trPr>
        <w:tc>
          <w:tcPr>
            <w:tcW w:w="850" w:type="pct"/>
            <w:tcBorders>
              <w:top w:val="nil"/>
              <w:left w:val="nil"/>
              <w:bottom w:val="nil"/>
              <w:right w:val="nil"/>
            </w:tcBorders>
            <w:shd w:val="clear" w:color="auto" w:fill="auto"/>
            <w:noWrap/>
            <w:tcMar>
              <w:top w:w="12" w:type="dxa"/>
              <w:left w:w="12" w:type="dxa"/>
              <w:right w:w="12" w:type="dxa"/>
            </w:tcMar>
            <w:vAlign w:val="bottom"/>
          </w:tcPr>
          <w:p>
            <w:pPr>
              <w:rPr>
                <w:rFonts w:hint="eastAsia" w:ascii="Arial" w:hAnsi="Arial" w:cs="Arial"/>
                <w:i w:val="0"/>
                <w:color w:val="000000"/>
                <w:sz w:val="20"/>
                <w:szCs w:val="20"/>
                <w:u w:val="none"/>
              </w:rPr>
            </w:pPr>
          </w:p>
        </w:tc>
        <w:tc>
          <w:tcPr>
            <w:tcW w:w="118"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118"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1475"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812"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812"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812" w:type="pct"/>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公开05表</w:t>
            </w:r>
          </w:p>
        </w:tc>
      </w:tr>
      <w:tr>
        <w:tblPrEx>
          <w:tblCellMar>
            <w:top w:w="0" w:type="dxa"/>
            <w:left w:w="0" w:type="dxa"/>
            <w:bottom w:w="0" w:type="dxa"/>
            <w:right w:w="0" w:type="dxa"/>
          </w:tblCellMar>
        </w:tblPrEx>
        <w:trPr>
          <w:trHeight w:val="264" w:hRule="atLeast"/>
        </w:trPr>
        <w:tc>
          <w:tcPr>
            <w:tcW w:w="850" w:type="pct"/>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部门：东安县白牙市镇政府</w:t>
            </w:r>
          </w:p>
        </w:tc>
        <w:tc>
          <w:tcPr>
            <w:tcW w:w="118"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118"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1475"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812"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812"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812" w:type="pct"/>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tblCellMar>
            <w:top w:w="0" w:type="dxa"/>
            <w:left w:w="0" w:type="dxa"/>
            <w:bottom w:w="0" w:type="dxa"/>
            <w:right w:w="0" w:type="dxa"/>
          </w:tblCellMar>
        </w:tblPrEx>
        <w:trPr>
          <w:trHeight w:val="308" w:hRule="atLeast"/>
        </w:trPr>
        <w:tc>
          <w:tcPr>
            <w:tcW w:w="2563" w:type="pct"/>
            <w:gridSpan w:val="4"/>
            <w:tcBorders>
              <w:top w:val="single" w:color="000000" w:sz="4" w:space="0"/>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2436" w:type="pct"/>
            <w:gridSpan w:val="3"/>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w:t>
            </w:r>
          </w:p>
        </w:tc>
      </w:tr>
      <w:tr>
        <w:tblPrEx>
          <w:tblCellMar>
            <w:top w:w="0" w:type="dxa"/>
            <w:left w:w="0" w:type="dxa"/>
            <w:bottom w:w="0" w:type="dxa"/>
            <w:right w:w="0" w:type="dxa"/>
          </w:tblCellMar>
        </w:tblPrEx>
        <w:trPr>
          <w:trHeight w:val="308" w:hRule="atLeast"/>
        </w:trPr>
        <w:tc>
          <w:tcPr>
            <w:tcW w:w="1088" w:type="pct"/>
            <w:gridSpan w:val="3"/>
            <w:vMerge w:val="restart"/>
            <w:tcBorders>
              <w:top w:val="nil"/>
              <w:left w:val="single" w:color="000000" w:sz="4" w:space="0"/>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功能分类科目编码</w:t>
            </w:r>
          </w:p>
        </w:tc>
        <w:tc>
          <w:tcPr>
            <w:tcW w:w="1475" w:type="pct"/>
            <w:vMerge w:val="restar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812" w:type="pct"/>
            <w:vMerge w:val="restar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812" w:type="pct"/>
            <w:vMerge w:val="restar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812" w:type="pct"/>
            <w:vMerge w:val="restar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r>
      <w:tr>
        <w:tblPrEx>
          <w:tblCellMar>
            <w:top w:w="0" w:type="dxa"/>
            <w:left w:w="0" w:type="dxa"/>
            <w:bottom w:w="0" w:type="dxa"/>
            <w:right w:w="0" w:type="dxa"/>
          </w:tblCellMar>
        </w:tblPrEx>
        <w:trPr>
          <w:trHeight w:val="277" w:hRule="atLeast"/>
        </w:trPr>
        <w:tc>
          <w:tcPr>
            <w:tcW w:w="1088" w:type="pct"/>
            <w:gridSpan w:val="3"/>
            <w:vMerge w:val="continue"/>
            <w:tcBorders>
              <w:top w:val="nil"/>
              <w:left w:val="single" w:color="000000" w:sz="4" w:space="0"/>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475" w:type="pct"/>
            <w:vMerge w:val="continue"/>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12"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12"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12"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1088" w:type="pct"/>
            <w:gridSpan w:val="3"/>
            <w:vMerge w:val="continue"/>
            <w:tcBorders>
              <w:top w:val="nil"/>
              <w:left w:val="single" w:color="000000" w:sz="4" w:space="0"/>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475" w:type="pct"/>
            <w:vMerge w:val="continue"/>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12"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12"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812"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2563" w:type="pct"/>
            <w:gridSpan w:val="4"/>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812"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812"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812"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r>
      <w:tr>
        <w:tblPrEx>
          <w:tblCellMar>
            <w:top w:w="0" w:type="dxa"/>
            <w:left w:w="0" w:type="dxa"/>
            <w:bottom w:w="0" w:type="dxa"/>
            <w:right w:w="0" w:type="dxa"/>
          </w:tblCellMar>
        </w:tblPrEx>
        <w:trPr>
          <w:trHeight w:val="308" w:hRule="atLeast"/>
        </w:trPr>
        <w:tc>
          <w:tcPr>
            <w:tcW w:w="2563" w:type="pct"/>
            <w:gridSpan w:val="4"/>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14,832.00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13,765.00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1,067.00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一般公共服务支出</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1,078.00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1,078.00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20103</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政府办公厅（室）及相关机构事务</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1,078.00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1,078.00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2010301</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行政运行</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1,078.00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1,078.00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教育支出</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11,663.00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11,663.00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普通教育</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10,142.00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10,142.00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2050201</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学前教育</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306.00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306.00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2050202</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小学教育</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2,769.00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2,769.00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2050203</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初中教育</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2,380.00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2,380.00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2050204</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高中教育</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4,687.00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4,687.00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20503</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职业教育</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1,521.00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1,521.00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2050302</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中等职业教育</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1,521.00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1,521.00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社会保障和就业支出</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446.00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446.00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20802</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民政管理事务</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263.00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263.00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2080208</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基层政权建设和社区治理</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263.00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263.00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行政事业单位养老支出</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183.00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183.00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2080507</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对机关事业单位基本养老保险基金的补助</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183.00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183.00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卫生健康支出</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441.00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441.00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21003</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基层医疗卫生机构</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350.00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350.00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2100302</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乡镇卫生院</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350.00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350.00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21012</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财政对基本医疗保险基金的补助</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91.00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91.00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2101201</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财政对职工基本医疗保险基金的补助</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91.00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91.00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节能环保支出</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184.00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184.00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21104</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自然生态保护</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2110402</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农村环境保护</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21199</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其他节能环保支出</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131.00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131.00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2119901</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其他节能环保支出</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131.00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131.00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农林水支出</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883.00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883.00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林业和草原</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2130209</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森林生态效益补偿</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21307</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农村综合改革</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824.00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824.00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2130701</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对村级一事一议的补助</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93.00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93.00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2130705</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对村民委员会和村党支部的补助</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631.00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631.00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2130706</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对村集体经济组织的补助</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住房保障支出</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137.00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137.00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住房改革支出</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137.00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137.00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1088"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2210201</w:t>
            </w:r>
          </w:p>
        </w:tc>
        <w:tc>
          <w:tcPr>
            <w:tcW w:w="1475"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住房公积金</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137.00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137.00</w:t>
            </w:r>
          </w:p>
        </w:tc>
        <w:tc>
          <w:tcPr>
            <w:tcW w:w="812"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5000" w:type="pct"/>
            <w:gridSpan w:val="7"/>
            <w:tcBorders>
              <w:top w:val="nil"/>
              <w:left w:val="nil"/>
              <w:bottom w:val="nil"/>
              <w:right w:val="nil"/>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注：本表反映部门本年度一般公共预算财政拨款支出情况。</w:t>
            </w:r>
          </w:p>
        </w:tc>
      </w:tr>
    </w:tbl>
    <w:p>
      <w:pPr>
        <w:rPr>
          <w:sz w:val="24"/>
        </w:rPr>
        <w:sectPr>
          <w:pgSz w:w="16840" w:h="11910" w:orient="landscape"/>
          <w:pgMar w:top="1100" w:right="800" w:bottom="1080" w:left="800" w:header="0" w:footer="895" w:gutter="0"/>
          <w:pgBorders>
            <w:top w:val="none" w:sz="0" w:space="0"/>
            <w:left w:val="none" w:sz="0" w:space="0"/>
            <w:bottom w:val="none" w:sz="0" w:space="0"/>
            <w:right w:val="none" w:sz="0" w:space="0"/>
          </w:pgBorders>
          <w:cols w:space="720" w:num="1"/>
        </w:sectPr>
      </w:pPr>
      <w:r>
        <w:rPr>
          <w:sz w:val="24"/>
        </w:rPr>
        <w:br w:type="page"/>
      </w:r>
    </w:p>
    <w:p>
      <w:pPr>
        <w:pStyle w:val="6"/>
        <w:spacing w:before="5"/>
        <w:rPr>
          <w:rFonts w:ascii="Times New Roman"/>
          <w:sz w:val="2"/>
        </w:rPr>
      </w:pPr>
    </w:p>
    <w:p>
      <w:pPr>
        <w:pStyle w:val="6"/>
        <w:rPr>
          <w:sz w:val="20"/>
        </w:rPr>
      </w:pPr>
    </w:p>
    <w:p>
      <w:pPr>
        <w:pStyle w:val="6"/>
        <w:spacing w:before="5"/>
        <w:rPr>
          <w:sz w:val="16"/>
        </w:rPr>
      </w:pPr>
    </w:p>
    <w:p>
      <w:pPr>
        <w:pStyle w:val="4"/>
      </w:pPr>
      <w:r>
        <w:t>一般公共预算财政拨款基本支出决算表</w:t>
      </w:r>
    </w:p>
    <w:p>
      <w:pPr>
        <w:pStyle w:val="6"/>
        <w:spacing w:before="2"/>
        <w:rPr>
          <w:sz w:val="2"/>
        </w:rPr>
      </w:pPr>
    </w:p>
    <w:p>
      <w:pPr>
        <w:rPr>
          <w:sz w:val="16"/>
        </w:rPr>
      </w:pPr>
    </w:p>
    <w:tbl>
      <w:tblPr>
        <w:tblStyle w:val="8"/>
        <w:tblW w:w="5000" w:type="pct"/>
        <w:tblInd w:w="0" w:type="dxa"/>
        <w:shd w:val="clear" w:color="auto" w:fill="auto"/>
        <w:tblLayout w:type="fixed"/>
        <w:tblCellMar>
          <w:top w:w="0" w:type="dxa"/>
          <w:left w:w="0" w:type="dxa"/>
          <w:bottom w:w="0" w:type="dxa"/>
          <w:right w:w="0" w:type="dxa"/>
        </w:tblCellMar>
      </w:tblPr>
      <w:tblGrid>
        <w:gridCol w:w="1145"/>
        <w:gridCol w:w="3200"/>
        <w:gridCol w:w="1134"/>
        <w:gridCol w:w="880"/>
        <w:gridCol w:w="2253"/>
        <w:gridCol w:w="973"/>
        <w:gridCol w:w="1067"/>
        <w:gridCol w:w="3187"/>
        <w:gridCol w:w="1425"/>
      </w:tblGrid>
      <w:tr>
        <w:tblPrEx>
          <w:shd w:val="clear" w:color="auto" w:fill="auto"/>
          <w:tblCellMar>
            <w:top w:w="0" w:type="dxa"/>
            <w:left w:w="0" w:type="dxa"/>
            <w:bottom w:w="0" w:type="dxa"/>
            <w:right w:w="0" w:type="dxa"/>
          </w:tblCellMar>
        </w:tblPrEx>
        <w:trPr>
          <w:trHeight w:val="330" w:hRule="atLeast"/>
        </w:trPr>
        <w:tc>
          <w:tcPr>
            <w:tcW w:w="375" w:type="pct"/>
            <w:tcBorders>
              <w:top w:val="nil"/>
              <w:left w:val="nil"/>
              <w:bottom w:val="nil"/>
              <w:right w:val="nil"/>
            </w:tcBorders>
            <w:shd w:val="clear" w:color="auto" w:fill="auto"/>
            <w:noWrap/>
            <w:tcMar>
              <w:top w:w="12" w:type="dxa"/>
              <w:left w:w="12" w:type="dxa"/>
              <w:right w:w="12" w:type="dxa"/>
            </w:tcMar>
            <w:vAlign w:val="bottom"/>
          </w:tcPr>
          <w:p>
            <w:pPr>
              <w:rPr>
                <w:rFonts w:hint="eastAsia" w:ascii="Arial" w:hAnsi="Arial" w:cs="Arial"/>
                <w:i w:val="0"/>
                <w:color w:val="000000"/>
                <w:sz w:val="16"/>
                <w:szCs w:val="16"/>
                <w:u w:val="none"/>
              </w:rPr>
            </w:pPr>
          </w:p>
        </w:tc>
        <w:tc>
          <w:tcPr>
            <w:tcW w:w="1048"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16"/>
                <w:szCs w:val="16"/>
                <w:u w:val="none"/>
              </w:rPr>
            </w:pPr>
          </w:p>
        </w:tc>
        <w:tc>
          <w:tcPr>
            <w:tcW w:w="371"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16"/>
                <w:szCs w:val="16"/>
                <w:u w:val="none"/>
              </w:rPr>
            </w:pPr>
          </w:p>
        </w:tc>
        <w:tc>
          <w:tcPr>
            <w:tcW w:w="288"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16"/>
                <w:szCs w:val="16"/>
                <w:u w:val="none"/>
              </w:rPr>
            </w:pPr>
          </w:p>
        </w:tc>
        <w:tc>
          <w:tcPr>
            <w:tcW w:w="738"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16"/>
                <w:szCs w:val="16"/>
                <w:u w:val="none"/>
              </w:rPr>
            </w:pPr>
          </w:p>
        </w:tc>
        <w:tc>
          <w:tcPr>
            <w:tcW w:w="318"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16"/>
                <w:szCs w:val="16"/>
                <w:u w:val="none"/>
              </w:rPr>
            </w:pPr>
          </w:p>
        </w:tc>
        <w:tc>
          <w:tcPr>
            <w:tcW w:w="349"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16"/>
                <w:szCs w:val="16"/>
                <w:u w:val="none"/>
              </w:rPr>
            </w:pPr>
          </w:p>
        </w:tc>
        <w:tc>
          <w:tcPr>
            <w:tcW w:w="1043"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16"/>
                <w:szCs w:val="16"/>
                <w:u w:val="none"/>
              </w:rPr>
            </w:pPr>
          </w:p>
        </w:tc>
        <w:tc>
          <w:tcPr>
            <w:tcW w:w="466" w:type="pct"/>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right"/>
              <w:textAlignment w:val="bottom"/>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公开06表</w:t>
            </w:r>
          </w:p>
        </w:tc>
      </w:tr>
      <w:tr>
        <w:tblPrEx>
          <w:tblCellMar>
            <w:top w:w="0" w:type="dxa"/>
            <w:left w:w="0" w:type="dxa"/>
            <w:bottom w:w="0" w:type="dxa"/>
            <w:right w:w="0" w:type="dxa"/>
          </w:tblCellMar>
        </w:tblPrEx>
        <w:trPr>
          <w:trHeight w:val="264" w:hRule="atLeast"/>
        </w:trPr>
        <w:tc>
          <w:tcPr>
            <w:tcW w:w="1423" w:type="pct"/>
            <w:gridSpan w:val="2"/>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16"/>
                <w:szCs w:val="16"/>
                <w:u w:val="none"/>
              </w:rPr>
            </w:pPr>
            <w:r>
              <w:rPr>
                <w:rFonts w:hint="eastAsia" w:ascii="宋体" w:hAnsi="宋体" w:eastAsia="宋体" w:cs="宋体"/>
                <w:i w:val="0"/>
                <w:color w:val="000000"/>
                <w:kern w:val="0"/>
                <w:sz w:val="16"/>
                <w:szCs w:val="16"/>
                <w:u w:val="none"/>
                <w:lang w:val="en-US" w:eastAsia="zh-CN" w:bidi="ar"/>
              </w:rPr>
              <w:t>部门：东安县白牙市镇政府</w:t>
            </w:r>
          </w:p>
        </w:tc>
        <w:tc>
          <w:tcPr>
            <w:tcW w:w="371"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16"/>
                <w:szCs w:val="16"/>
                <w:u w:val="none"/>
              </w:rPr>
            </w:pPr>
          </w:p>
        </w:tc>
        <w:tc>
          <w:tcPr>
            <w:tcW w:w="288"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16"/>
                <w:szCs w:val="16"/>
                <w:u w:val="none"/>
              </w:rPr>
            </w:pPr>
          </w:p>
        </w:tc>
        <w:tc>
          <w:tcPr>
            <w:tcW w:w="738"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16"/>
                <w:szCs w:val="16"/>
                <w:u w:val="none"/>
              </w:rPr>
            </w:pPr>
          </w:p>
        </w:tc>
        <w:tc>
          <w:tcPr>
            <w:tcW w:w="318"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16"/>
                <w:szCs w:val="16"/>
                <w:u w:val="none"/>
              </w:rPr>
            </w:pPr>
          </w:p>
        </w:tc>
        <w:tc>
          <w:tcPr>
            <w:tcW w:w="349"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16"/>
                <w:szCs w:val="16"/>
                <w:u w:val="none"/>
              </w:rPr>
            </w:pPr>
          </w:p>
        </w:tc>
        <w:tc>
          <w:tcPr>
            <w:tcW w:w="1043"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16"/>
                <w:szCs w:val="16"/>
                <w:u w:val="none"/>
              </w:rPr>
            </w:pPr>
          </w:p>
        </w:tc>
        <w:tc>
          <w:tcPr>
            <w:tcW w:w="466" w:type="pct"/>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right"/>
              <w:textAlignment w:val="bottom"/>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金额单位：万元</w:t>
            </w:r>
          </w:p>
        </w:tc>
      </w:tr>
      <w:tr>
        <w:tblPrEx>
          <w:tblCellMar>
            <w:top w:w="0" w:type="dxa"/>
            <w:left w:w="0" w:type="dxa"/>
            <w:bottom w:w="0" w:type="dxa"/>
            <w:right w:w="0" w:type="dxa"/>
          </w:tblCellMar>
        </w:tblPrEx>
        <w:trPr>
          <w:trHeight w:val="308" w:hRule="atLeast"/>
        </w:trPr>
        <w:tc>
          <w:tcPr>
            <w:tcW w:w="1794" w:type="pct"/>
            <w:gridSpan w:val="3"/>
            <w:tcBorders>
              <w:top w:val="single" w:color="000000" w:sz="4" w:space="0"/>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3205" w:type="pct"/>
            <w:gridSpan w:val="6"/>
            <w:tcBorders>
              <w:top w:val="single" w:color="000000" w:sz="4" w:space="0"/>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r>
      <w:tr>
        <w:tblPrEx>
          <w:tblCellMar>
            <w:top w:w="0" w:type="dxa"/>
            <w:left w:w="0" w:type="dxa"/>
            <w:bottom w:w="0" w:type="dxa"/>
            <w:right w:w="0" w:type="dxa"/>
          </w:tblCellMar>
        </w:tblPrEx>
        <w:trPr>
          <w:trHeight w:val="308" w:hRule="atLeast"/>
        </w:trPr>
        <w:tc>
          <w:tcPr>
            <w:tcW w:w="375" w:type="pct"/>
            <w:vMerge w:val="restart"/>
            <w:tcBorders>
              <w:top w:val="nil"/>
              <w:left w:val="single" w:color="000000" w:sz="4" w:space="0"/>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科目编码</w:t>
            </w:r>
          </w:p>
        </w:tc>
        <w:tc>
          <w:tcPr>
            <w:tcW w:w="1048" w:type="pct"/>
            <w:vMerge w:val="restar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371" w:type="pct"/>
            <w:vMerge w:val="restar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决算数</w:t>
            </w:r>
          </w:p>
        </w:tc>
        <w:tc>
          <w:tcPr>
            <w:tcW w:w="288" w:type="pct"/>
            <w:vMerge w:val="restar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科目编码</w:t>
            </w:r>
          </w:p>
        </w:tc>
        <w:tc>
          <w:tcPr>
            <w:tcW w:w="738" w:type="pct"/>
            <w:vMerge w:val="restar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318" w:type="pct"/>
            <w:vMerge w:val="restar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决算数</w:t>
            </w:r>
          </w:p>
        </w:tc>
        <w:tc>
          <w:tcPr>
            <w:tcW w:w="349" w:type="pct"/>
            <w:vMerge w:val="restar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科目编码</w:t>
            </w:r>
          </w:p>
        </w:tc>
        <w:tc>
          <w:tcPr>
            <w:tcW w:w="1043" w:type="pct"/>
            <w:vMerge w:val="restar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466" w:type="pct"/>
            <w:vMerge w:val="restar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决算数</w:t>
            </w:r>
          </w:p>
        </w:tc>
      </w:tr>
      <w:tr>
        <w:tblPrEx>
          <w:tblCellMar>
            <w:top w:w="0" w:type="dxa"/>
            <w:left w:w="0" w:type="dxa"/>
            <w:bottom w:w="0" w:type="dxa"/>
            <w:right w:w="0" w:type="dxa"/>
          </w:tblCellMar>
        </w:tblPrEx>
        <w:trPr>
          <w:trHeight w:val="308" w:hRule="atLeast"/>
        </w:trPr>
        <w:tc>
          <w:tcPr>
            <w:tcW w:w="375" w:type="pct"/>
            <w:vMerge w:val="continue"/>
            <w:tcBorders>
              <w:top w:val="nil"/>
              <w:left w:val="single" w:color="000000" w:sz="4" w:space="0"/>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048"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371"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288"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738"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318"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349"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043"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466"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08" w:hRule="atLeast"/>
        </w:trPr>
        <w:tc>
          <w:tcPr>
            <w:tcW w:w="37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w:t>
            </w:r>
          </w:p>
        </w:tc>
        <w:tc>
          <w:tcPr>
            <w:tcW w:w="104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工资福利支出</w:t>
            </w:r>
          </w:p>
        </w:tc>
        <w:tc>
          <w:tcPr>
            <w:tcW w:w="37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7,152.60</w:t>
            </w:r>
          </w:p>
        </w:tc>
        <w:tc>
          <w:tcPr>
            <w:tcW w:w="2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w:t>
            </w:r>
          </w:p>
        </w:tc>
        <w:tc>
          <w:tcPr>
            <w:tcW w:w="73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商品和服务支出</w:t>
            </w:r>
          </w:p>
        </w:tc>
        <w:tc>
          <w:tcPr>
            <w:tcW w:w="31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6,554.40</w:t>
            </w:r>
          </w:p>
        </w:tc>
        <w:tc>
          <w:tcPr>
            <w:tcW w:w="349"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307</w:t>
            </w:r>
          </w:p>
        </w:tc>
        <w:tc>
          <w:tcPr>
            <w:tcW w:w="104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债务利息及费用支出</w:t>
            </w:r>
          </w:p>
        </w:tc>
        <w:tc>
          <w:tcPr>
            <w:tcW w:w="46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8" w:hRule="atLeast"/>
        </w:trPr>
        <w:tc>
          <w:tcPr>
            <w:tcW w:w="37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30101</w:t>
            </w:r>
          </w:p>
        </w:tc>
        <w:tc>
          <w:tcPr>
            <w:tcW w:w="104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基本工资</w:t>
            </w:r>
          </w:p>
        </w:tc>
        <w:tc>
          <w:tcPr>
            <w:tcW w:w="37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5,423.00</w:t>
            </w:r>
          </w:p>
        </w:tc>
        <w:tc>
          <w:tcPr>
            <w:tcW w:w="2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30201</w:t>
            </w:r>
          </w:p>
        </w:tc>
        <w:tc>
          <w:tcPr>
            <w:tcW w:w="73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办公费</w:t>
            </w:r>
          </w:p>
        </w:tc>
        <w:tc>
          <w:tcPr>
            <w:tcW w:w="31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35.00</w:t>
            </w:r>
          </w:p>
        </w:tc>
        <w:tc>
          <w:tcPr>
            <w:tcW w:w="349"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30701</w:t>
            </w:r>
          </w:p>
        </w:tc>
        <w:tc>
          <w:tcPr>
            <w:tcW w:w="104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国内债务付息</w:t>
            </w:r>
          </w:p>
        </w:tc>
        <w:tc>
          <w:tcPr>
            <w:tcW w:w="46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8" w:hRule="atLeast"/>
        </w:trPr>
        <w:tc>
          <w:tcPr>
            <w:tcW w:w="37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30102</w:t>
            </w:r>
          </w:p>
        </w:tc>
        <w:tc>
          <w:tcPr>
            <w:tcW w:w="104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津贴补贴</w:t>
            </w:r>
          </w:p>
        </w:tc>
        <w:tc>
          <w:tcPr>
            <w:tcW w:w="37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639.00</w:t>
            </w:r>
          </w:p>
        </w:tc>
        <w:tc>
          <w:tcPr>
            <w:tcW w:w="2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30202</w:t>
            </w:r>
          </w:p>
        </w:tc>
        <w:tc>
          <w:tcPr>
            <w:tcW w:w="73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印刷费</w:t>
            </w:r>
          </w:p>
        </w:tc>
        <w:tc>
          <w:tcPr>
            <w:tcW w:w="31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45.00</w:t>
            </w:r>
          </w:p>
        </w:tc>
        <w:tc>
          <w:tcPr>
            <w:tcW w:w="349"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30702</w:t>
            </w:r>
          </w:p>
        </w:tc>
        <w:tc>
          <w:tcPr>
            <w:tcW w:w="104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国外债务付息</w:t>
            </w:r>
          </w:p>
        </w:tc>
        <w:tc>
          <w:tcPr>
            <w:tcW w:w="46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8" w:hRule="atLeast"/>
        </w:trPr>
        <w:tc>
          <w:tcPr>
            <w:tcW w:w="37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30103</w:t>
            </w:r>
          </w:p>
        </w:tc>
        <w:tc>
          <w:tcPr>
            <w:tcW w:w="104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奖金</w:t>
            </w:r>
          </w:p>
        </w:tc>
        <w:tc>
          <w:tcPr>
            <w:tcW w:w="37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285.00</w:t>
            </w:r>
          </w:p>
        </w:tc>
        <w:tc>
          <w:tcPr>
            <w:tcW w:w="2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30203</w:t>
            </w:r>
          </w:p>
        </w:tc>
        <w:tc>
          <w:tcPr>
            <w:tcW w:w="73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咨询费</w:t>
            </w:r>
          </w:p>
        </w:tc>
        <w:tc>
          <w:tcPr>
            <w:tcW w:w="31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25.00</w:t>
            </w:r>
          </w:p>
        </w:tc>
        <w:tc>
          <w:tcPr>
            <w:tcW w:w="349"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w:t>
            </w:r>
          </w:p>
        </w:tc>
        <w:tc>
          <w:tcPr>
            <w:tcW w:w="104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资本性支出</w:t>
            </w:r>
          </w:p>
        </w:tc>
        <w:tc>
          <w:tcPr>
            <w:tcW w:w="46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8" w:hRule="atLeast"/>
        </w:trPr>
        <w:tc>
          <w:tcPr>
            <w:tcW w:w="37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30106</w:t>
            </w:r>
          </w:p>
        </w:tc>
        <w:tc>
          <w:tcPr>
            <w:tcW w:w="104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伙食补助费</w:t>
            </w:r>
          </w:p>
        </w:tc>
        <w:tc>
          <w:tcPr>
            <w:tcW w:w="37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37.00</w:t>
            </w:r>
          </w:p>
        </w:tc>
        <w:tc>
          <w:tcPr>
            <w:tcW w:w="2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30204</w:t>
            </w:r>
          </w:p>
        </w:tc>
        <w:tc>
          <w:tcPr>
            <w:tcW w:w="73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手续费</w:t>
            </w:r>
          </w:p>
        </w:tc>
        <w:tc>
          <w:tcPr>
            <w:tcW w:w="31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349"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31001</w:t>
            </w:r>
          </w:p>
        </w:tc>
        <w:tc>
          <w:tcPr>
            <w:tcW w:w="104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房屋建筑物购建</w:t>
            </w:r>
          </w:p>
        </w:tc>
        <w:tc>
          <w:tcPr>
            <w:tcW w:w="46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8" w:hRule="atLeast"/>
        </w:trPr>
        <w:tc>
          <w:tcPr>
            <w:tcW w:w="37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30107</w:t>
            </w:r>
          </w:p>
        </w:tc>
        <w:tc>
          <w:tcPr>
            <w:tcW w:w="104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绩效工资</w:t>
            </w:r>
          </w:p>
        </w:tc>
        <w:tc>
          <w:tcPr>
            <w:tcW w:w="37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273.00</w:t>
            </w:r>
          </w:p>
        </w:tc>
        <w:tc>
          <w:tcPr>
            <w:tcW w:w="2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30205</w:t>
            </w:r>
          </w:p>
        </w:tc>
        <w:tc>
          <w:tcPr>
            <w:tcW w:w="73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水费</w:t>
            </w:r>
          </w:p>
        </w:tc>
        <w:tc>
          <w:tcPr>
            <w:tcW w:w="31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3.50</w:t>
            </w:r>
          </w:p>
        </w:tc>
        <w:tc>
          <w:tcPr>
            <w:tcW w:w="349"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31002</w:t>
            </w:r>
          </w:p>
        </w:tc>
        <w:tc>
          <w:tcPr>
            <w:tcW w:w="104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办公设备购置</w:t>
            </w:r>
          </w:p>
        </w:tc>
        <w:tc>
          <w:tcPr>
            <w:tcW w:w="46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8" w:hRule="atLeast"/>
        </w:trPr>
        <w:tc>
          <w:tcPr>
            <w:tcW w:w="37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30108</w:t>
            </w:r>
          </w:p>
        </w:tc>
        <w:tc>
          <w:tcPr>
            <w:tcW w:w="104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机关事业单位基本养老保险缴费</w:t>
            </w:r>
          </w:p>
        </w:tc>
        <w:tc>
          <w:tcPr>
            <w:tcW w:w="37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183.00</w:t>
            </w:r>
          </w:p>
        </w:tc>
        <w:tc>
          <w:tcPr>
            <w:tcW w:w="2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30206</w:t>
            </w:r>
          </w:p>
        </w:tc>
        <w:tc>
          <w:tcPr>
            <w:tcW w:w="73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电费</w:t>
            </w:r>
          </w:p>
        </w:tc>
        <w:tc>
          <w:tcPr>
            <w:tcW w:w="31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10.00</w:t>
            </w:r>
          </w:p>
        </w:tc>
        <w:tc>
          <w:tcPr>
            <w:tcW w:w="349"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31003</w:t>
            </w:r>
          </w:p>
        </w:tc>
        <w:tc>
          <w:tcPr>
            <w:tcW w:w="104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专用设备购置</w:t>
            </w:r>
          </w:p>
        </w:tc>
        <w:tc>
          <w:tcPr>
            <w:tcW w:w="46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8" w:hRule="atLeast"/>
        </w:trPr>
        <w:tc>
          <w:tcPr>
            <w:tcW w:w="37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30109</w:t>
            </w:r>
          </w:p>
        </w:tc>
        <w:tc>
          <w:tcPr>
            <w:tcW w:w="104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职业年金缴费</w:t>
            </w:r>
          </w:p>
        </w:tc>
        <w:tc>
          <w:tcPr>
            <w:tcW w:w="37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2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30207</w:t>
            </w:r>
          </w:p>
        </w:tc>
        <w:tc>
          <w:tcPr>
            <w:tcW w:w="73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邮电费</w:t>
            </w:r>
          </w:p>
        </w:tc>
        <w:tc>
          <w:tcPr>
            <w:tcW w:w="31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5.00</w:t>
            </w:r>
          </w:p>
        </w:tc>
        <w:tc>
          <w:tcPr>
            <w:tcW w:w="349"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31005</w:t>
            </w:r>
          </w:p>
        </w:tc>
        <w:tc>
          <w:tcPr>
            <w:tcW w:w="104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基础设施建设</w:t>
            </w:r>
          </w:p>
        </w:tc>
        <w:tc>
          <w:tcPr>
            <w:tcW w:w="46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8" w:hRule="atLeast"/>
        </w:trPr>
        <w:tc>
          <w:tcPr>
            <w:tcW w:w="37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30110</w:t>
            </w:r>
          </w:p>
        </w:tc>
        <w:tc>
          <w:tcPr>
            <w:tcW w:w="104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职工基本医疗保险缴费</w:t>
            </w:r>
          </w:p>
        </w:tc>
        <w:tc>
          <w:tcPr>
            <w:tcW w:w="37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91.00</w:t>
            </w:r>
          </w:p>
        </w:tc>
        <w:tc>
          <w:tcPr>
            <w:tcW w:w="2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30208</w:t>
            </w:r>
          </w:p>
        </w:tc>
        <w:tc>
          <w:tcPr>
            <w:tcW w:w="73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取暖费</w:t>
            </w:r>
          </w:p>
        </w:tc>
        <w:tc>
          <w:tcPr>
            <w:tcW w:w="31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349"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31006</w:t>
            </w:r>
          </w:p>
        </w:tc>
        <w:tc>
          <w:tcPr>
            <w:tcW w:w="104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大型修缮</w:t>
            </w:r>
          </w:p>
        </w:tc>
        <w:tc>
          <w:tcPr>
            <w:tcW w:w="46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8" w:hRule="atLeast"/>
        </w:trPr>
        <w:tc>
          <w:tcPr>
            <w:tcW w:w="37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30111</w:t>
            </w:r>
          </w:p>
        </w:tc>
        <w:tc>
          <w:tcPr>
            <w:tcW w:w="104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公务员医疗补助缴费</w:t>
            </w:r>
          </w:p>
        </w:tc>
        <w:tc>
          <w:tcPr>
            <w:tcW w:w="37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2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30209</w:t>
            </w:r>
          </w:p>
        </w:tc>
        <w:tc>
          <w:tcPr>
            <w:tcW w:w="73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物业管理费</w:t>
            </w:r>
          </w:p>
        </w:tc>
        <w:tc>
          <w:tcPr>
            <w:tcW w:w="31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w:t>
            </w:r>
          </w:p>
        </w:tc>
        <w:tc>
          <w:tcPr>
            <w:tcW w:w="349"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31007</w:t>
            </w:r>
          </w:p>
        </w:tc>
        <w:tc>
          <w:tcPr>
            <w:tcW w:w="104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信息网络及软件购置更新</w:t>
            </w:r>
          </w:p>
        </w:tc>
        <w:tc>
          <w:tcPr>
            <w:tcW w:w="46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8" w:hRule="atLeast"/>
        </w:trPr>
        <w:tc>
          <w:tcPr>
            <w:tcW w:w="37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30112</w:t>
            </w:r>
          </w:p>
        </w:tc>
        <w:tc>
          <w:tcPr>
            <w:tcW w:w="104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其他社会保障缴费</w:t>
            </w:r>
          </w:p>
        </w:tc>
        <w:tc>
          <w:tcPr>
            <w:tcW w:w="37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2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30211</w:t>
            </w:r>
          </w:p>
        </w:tc>
        <w:tc>
          <w:tcPr>
            <w:tcW w:w="73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差旅费</w:t>
            </w:r>
          </w:p>
        </w:tc>
        <w:tc>
          <w:tcPr>
            <w:tcW w:w="31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w:t>
            </w:r>
          </w:p>
        </w:tc>
        <w:tc>
          <w:tcPr>
            <w:tcW w:w="349"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31008</w:t>
            </w:r>
          </w:p>
        </w:tc>
        <w:tc>
          <w:tcPr>
            <w:tcW w:w="104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物资储备</w:t>
            </w:r>
          </w:p>
        </w:tc>
        <w:tc>
          <w:tcPr>
            <w:tcW w:w="46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8" w:hRule="atLeast"/>
        </w:trPr>
        <w:tc>
          <w:tcPr>
            <w:tcW w:w="37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30113</w:t>
            </w:r>
          </w:p>
        </w:tc>
        <w:tc>
          <w:tcPr>
            <w:tcW w:w="104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住房公积金</w:t>
            </w:r>
          </w:p>
        </w:tc>
        <w:tc>
          <w:tcPr>
            <w:tcW w:w="37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137.00</w:t>
            </w:r>
          </w:p>
        </w:tc>
        <w:tc>
          <w:tcPr>
            <w:tcW w:w="2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30212</w:t>
            </w:r>
          </w:p>
        </w:tc>
        <w:tc>
          <w:tcPr>
            <w:tcW w:w="73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因公出国（境）费用</w:t>
            </w:r>
          </w:p>
        </w:tc>
        <w:tc>
          <w:tcPr>
            <w:tcW w:w="31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349"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31009</w:t>
            </w:r>
          </w:p>
        </w:tc>
        <w:tc>
          <w:tcPr>
            <w:tcW w:w="104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土地补偿</w:t>
            </w:r>
          </w:p>
        </w:tc>
        <w:tc>
          <w:tcPr>
            <w:tcW w:w="46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8" w:hRule="atLeast"/>
        </w:trPr>
        <w:tc>
          <w:tcPr>
            <w:tcW w:w="37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30114</w:t>
            </w:r>
          </w:p>
        </w:tc>
        <w:tc>
          <w:tcPr>
            <w:tcW w:w="104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医疗费</w:t>
            </w:r>
          </w:p>
        </w:tc>
        <w:tc>
          <w:tcPr>
            <w:tcW w:w="37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2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30213</w:t>
            </w:r>
          </w:p>
        </w:tc>
        <w:tc>
          <w:tcPr>
            <w:tcW w:w="73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维修（护）费</w:t>
            </w:r>
          </w:p>
        </w:tc>
        <w:tc>
          <w:tcPr>
            <w:tcW w:w="31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3.90</w:t>
            </w:r>
          </w:p>
        </w:tc>
        <w:tc>
          <w:tcPr>
            <w:tcW w:w="349"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31010</w:t>
            </w:r>
          </w:p>
        </w:tc>
        <w:tc>
          <w:tcPr>
            <w:tcW w:w="104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安置补助</w:t>
            </w:r>
          </w:p>
        </w:tc>
        <w:tc>
          <w:tcPr>
            <w:tcW w:w="46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8" w:hRule="atLeast"/>
        </w:trPr>
        <w:tc>
          <w:tcPr>
            <w:tcW w:w="37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30199</w:t>
            </w:r>
          </w:p>
        </w:tc>
        <w:tc>
          <w:tcPr>
            <w:tcW w:w="104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其他工资福利支出</w:t>
            </w:r>
          </w:p>
        </w:tc>
        <w:tc>
          <w:tcPr>
            <w:tcW w:w="37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84.60</w:t>
            </w:r>
          </w:p>
        </w:tc>
        <w:tc>
          <w:tcPr>
            <w:tcW w:w="2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30214</w:t>
            </w:r>
          </w:p>
        </w:tc>
        <w:tc>
          <w:tcPr>
            <w:tcW w:w="73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租赁费</w:t>
            </w:r>
          </w:p>
        </w:tc>
        <w:tc>
          <w:tcPr>
            <w:tcW w:w="31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349"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31011</w:t>
            </w:r>
          </w:p>
        </w:tc>
        <w:tc>
          <w:tcPr>
            <w:tcW w:w="104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地上附着物和青苗补偿</w:t>
            </w:r>
          </w:p>
        </w:tc>
        <w:tc>
          <w:tcPr>
            <w:tcW w:w="46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8" w:hRule="atLeast"/>
        </w:trPr>
        <w:tc>
          <w:tcPr>
            <w:tcW w:w="37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w:t>
            </w:r>
          </w:p>
        </w:tc>
        <w:tc>
          <w:tcPr>
            <w:tcW w:w="104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对个人和家庭的补助</w:t>
            </w:r>
          </w:p>
        </w:tc>
        <w:tc>
          <w:tcPr>
            <w:tcW w:w="37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58.00</w:t>
            </w:r>
          </w:p>
        </w:tc>
        <w:tc>
          <w:tcPr>
            <w:tcW w:w="2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30215</w:t>
            </w:r>
          </w:p>
        </w:tc>
        <w:tc>
          <w:tcPr>
            <w:tcW w:w="73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会议费</w:t>
            </w:r>
          </w:p>
        </w:tc>
        <w:tc>
          <w:tcPr>
            <w:tcW w:w="31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6.50</w:t>
            </w:r>
          </w:p>
        </w:tc>
        <w:tc>
          <w:tcPr>
            <w:tcW w:w="349"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31012</w:t>
            </w:r>
          </w:p>
        </w:tc>
        <w:tc>
          <w:tcPr>
            <w:tcW w:w="104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拆迁补偿</w:t>
            </w:r>
          </w:p>
        </w:tc>
        <w:tc>
          <w:tcPr>
            <w:tcW w:w="46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8" w:hRule="atLeast"/>
        </w:trPr>
        <w:tc>
          <w:tcPr>
            <w:tcW w:w="37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30301</w:t>
            </w:r>
          </w:p>
        </w:tc>
        <w:tc>
          <w:tcPr>
            <w:tcW w:w="104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离休费</w:t>
            </w:r>
          </w:p>
        </w:tc>
        <w:tc>
          <w:tcPr>
            <w:tcW w:w="37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2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30216</w:t>
            </w:r>
          </w:p>
        </w:tc>
        <w:tc>
          <w:tcPr>
            <w:tcW w:w="73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培训费</w:t>
            </w:r>
          </w:p>
        </w:tc>
        <w:tc>
          <w:tcPr>
            <w:tcW w:w="31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3.50</w:t>
            </w:r>
          </w:p>
        </w:tc>
        <w:tc>
          <w:tcPr>
            <w:tcW w:w="349"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31013</w:t>
            </w:r>
          </w:p>
        </w:tc>
        <w:tc>
          <w:tcPr>
            <w:tcW w:w="104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公务用车购置</w:t>
            </w:r>
          </w:p>
        </w:tc>
        <w:tc>
          <w:tcPr>
            <w:tcW w:w="46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8" w:hRule="atLeast"/>
        </w:trPr>
        <w:tc>
          <w:tcPr>
            <w:tcW w:w="37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30302</w:t>
            </w:r>
          </w:p>
        </w:tc>
        <w:tc>
          <w:tcPr>
            <w:tcW w:w="104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退休费</w:t>
            </w:r>
          </w:p>
        </w:tc>
        <w:tc>
          <w:tcPr>
            <w:tcW w:w="37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2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30217</w:t>
            </w:r>
          </w:p>
        </w:tc>
        <w:tc>
          <w:tcPr>
            <w:tcW w:w="73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公务接待费</w:t>
            </w:r>
          </w:p>
        </w:tc>
        <w:tc>
          <w:tcPr>
            <w:tcW w:w="31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12.00</w:t>
            </w:r>
          </w:p>
        </w:tc>
        <w:tc>
          <w:tcPr>
            <w:tcW w:w="349"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31019</w:t>
            </w:r>
          </w:p>
        </w:tc>
        <w:tc>
          <w:tcPr>
            <w:tcW w:w="104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其他交通工具购置</w:t>
            </w:r>
          </w:p>
        </w:tc>
        <w:tc>
          <w:tcPr>
            <w:tcW w:w="46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8" w:hRule="atLeast"/>
        </w:trPr>
        <w:tc>
          <w:tcPr>
            <w:tcW w:w="37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30303</w:t>
            </w:r>
          </w:p>
        </w:tc>
        <w:tc>
          <w:tcPr>
            <w:tcW w:w="104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退职（役）费</w:t>
            </w:r>
          </w:p>
        </w:tc>
        <w:tc>
          <w:tcPr>
            <w:tcW w:w="37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2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30218</w:t>
            </w:r>
          </w:p>
        </w:tc>
        <w:tc>
          <w:tcPr>
            <w:tcW w:w="73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专用材料费</w:t>
            </w:r>
          </w:p>
        </w:tc>
        <w:tc>
          <w:tcPr>
            <w:tcW w:w="31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6,250.00</w:t>
            </w:r>
          </w:p>
        </w:tc>
        <w:tc>
          <w:tcPr>
            <w:tcW w:w="349"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31021</w:t>
            </w:r>
          </w:p>
        </w:tc>
        <w:tc>
          <w:tcPr>
            <w:tcW w:w="104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文物和陈列品购置</w:t>
            </w:r>
          </w:p>
        </w:tc>
        <w:tc>
          <w:tcPr>
            <w:tcW w:w="46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8" w:hRule="atLeast"/>
        </w:trPr>
        <w:tc>
          <w:tcPr>
            <w:tcW w:w="37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30304</w:t>
            </w:r>
          </w:p>
        </w:tc>
        <w:tc>
          <w:tcPr>
            <w:tcW w:w="104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抚恤金</w:t>
            </w:r>
          </w:p>
        </w:tc>
        <w:tc>
          <w:tcPr>
            <w:tcW w:w="37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2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30224</w:t>
            </w:r>
          </w:p>
        </w:tc>
        <w:tc>
          <w:tcPr>
            <w:tcW w:w="73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被装购置费</w:t>
            </w:r>
          </w:p>
        </w:tc>
        <w:tc>
          <w:tcPr>
            <w:tcW w:w="31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349"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31022</w:t>
            </w:r>
          </w:p>
        </w:tc>
        <w:tc>
          <w:tcPr>
            <w:tcW w:w="104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无形资产购置</w:t>
            </w:r>
          </w:p>
        </w:tc>
        <w:tc>
          <w:tcPr>
            <w:tcW w:w="46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8" w:hRule="atLeast"/>
        </w:trPr>
        <w:tc>
          <w:tcPr>
            <w:tcW w:w="37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30305</w:t>
            </w:r>
          </w:p>
        </w:tc>
        <w:tc>
          <w:tcPr>
            <w:tcW w:w="104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生活补助</w:t>
            </w:r>
          </w:p>
        </w:tc>
        <w:tc>
          <w:tcPr>
            <w:tcW w:w="37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58.00</w:t>
            </w:r>
          </w:p>
        </w:tc>
        <w:tc>
          <w:tcPr>
            <w:tcW w:w="2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30225</w:t>
            </w:r>
          </w:p>
        </w:tc>
        <w:tc>
          <w:tcPr>
            <w:tcW w:w="73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专用燃料费</w:t>
            </w:r>
          </w:p>
        </w:tc>
        <w:tc>
          <w:tcPr>
            <w:tcW w:w="31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349"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31099</w:t>
            </w:r>
          </w:p>
        </w:tc>
        <w:tc>
          <w:tcPr>
            <w:tcW w:w="104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其他资本性支出</w:t>
            </w:r>
          </w:p>
        </w:tc>
        <w:tc>
          <w:tcPr>
            <w:tcW w:w="46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8" w:hRule="atLeast"/>
        </w:trPr>
        <w:tc>
          <w:tcPr>
            <w:tcW w:w="37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30306</w:t>
            </w:r>
          </w:p>
        </w:tc>
        <w:tc>
          <w:tcPr>
            <w:tcW w:w="104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救济费</w:t>
            </w:r>
          </w:p>
        </w:tc>
        <w:tc>
          <w:tcPr>
            <w:tcW w:w="37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2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30226</w:t>
            </w:r>
          </w:p>
        </w:tc>
        <w:tc>
          <w:tcPr>
            <w:tcW w:w="73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劳务费</w:t>
            </w:r>
          </w:p>
        </w:tc>
        <w:tc>
          <w:tcPr>
            <w:tcW w:w="31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349"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399</w:t>
            </w:r>
          </w:p>
        </w:tc>
        <w:tc>
          <w:tcPr>
            <w:tcW w:w="104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其他支出</w:t>
            </w:r>
          </w:p>
        </w:tc>
        <w:tc>
          <w:tcPr>
            <w:tcW w:w="46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8" w:hRule="atLeast"/>
        </w:trPr>
        <w:tc>
          <w:tcPr>
            <w:tcW w:w="37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30307</w:t>
            </w:r>
          </w:p>
        </w:tc>
        <w:tc>
          <w:tcPr>
            <w:tcW w:w="104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医疗费补助</w:t>
            </w:r>
          </w:p>
        </w:tc>
        <w:tc>
          <w:tcPr>
            <w:tcW w:w="37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2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30227</w:t>
            </w:r>
          </w:p>
        </w:tc>
        <w:tc>
          <w:tcPr>
            <w:tcW w:w="73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委托业务费</w:t>
            </w:r>
          </w:p>
        </w:tc>
        <w:tc>
          <w:tcPr>
            <w:tcW w:w="31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349"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39906</w:t>
            </w:r>
          </w:p>
        </w:tc>
        <w:tc>
          <w:tcPr>
            <w:tcW w:w="104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赠与</w:t>
            </w:r>
          </w:p>
        </w:tc>
        <w:tc>
          <w:tcPr>
            <w:tcW w:w="46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8" w:hRule="atLeast"/>
        </w:trPr>
        <w:tc>
          <w:tcPr>
            <w:tcW w:w="37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30308</w:t>
            </w:r>
          </w:p>
        </w:tc>
        <w:tc>
          <w:tcPr>
            <w:tcW w:w="104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助学金</w:t>
            </w:r>
          </w:p>
        </w:tc>
        <w:tc>
          <w:tcPr>
            <w:tcW w:w="37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2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30228</w:t>
            </w:r>
          </w:p>
        </w:tc>
        <w:tc>
          <w:tcPr>
            <w:tcW w:w="73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工会经费</w:t>
            </w:r>
          </w:p>
        </w:tc>
        <w:tc>
          <w:tcPr>
            <w:tcW w:w="31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25.00</w:t>
            </w:r>
          </w:p>
        </w:tc>
        <w:tc>
          <w:tcPr>
            <w:tcW w:w="349"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39907</w:t>
            </w:r>
          </w:p>
        </w:tc>
        <w:tc>
          <w:tcPr>
            <w:tcW w:w="104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国家赔偿费用支出</w:t>
            </w:r>
          </w:p>
        </w:tc>
        <w:tc>
          <w:tcPr>
            <w:tcW w:w="46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8" w:hRule="atLeast"/>
        </w:trPr>
        <w:tc>
          <w:tcPr>
            <w:tcW w:w="37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30309</w:t>
            </w:r>
          </w:p>
        </w:tc>
        <w:tc>
          <w:tcPr>
            <w:tcW w:w="104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奖励金</w:t>
            </w:r>
          </w:p>
        </w:tc>
        <w:tc>
          <w:tcPr>
            <w:tcW w:w="37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2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30229</w:t>
            </w:r>
          </w:p>
        </w:tc>
        <w:tc>
          <w:tcPr>
            <w:tcW w:w="73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福利费</w:t>
            </w:r>
          </w:p>
        </w:tc>
        <w:tc>
          <w:tcPr>
            <w:tcW w:w="31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8.00</w:t>
            </w:r>
          </w:p>
        </w:tc>
        <w:tc>
          <w:tcPr>
            <w:tcW w:w="349"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39908</w:t>
            </w:r>
          </w:p>
        </w:tc>
        <w:tc>
          <w:tcPr>
            <w:tcW w:w="104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对民间非营利组织和群众性自治组织补贴</w:t>
            </w:r>
          </w:p>
        </w:tc>
        <w:tc>
          <w:tcPr>
            <w:tcW w:w="46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8" w:hRule="atLeast"/>
        </w:trPr>
        <w:tc>
          <w:tcPr>
            <w:tcW w:w="37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30310</w:t>
            </w:r>
          </w:p>
        </w:tc>
        <w:tc>
          <w:tcPr>
            <w:tcW w:w="104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个人农业生产补贴</w:t>
            </w:r>
          </w:p>
        </w:tc>
        <w:tc>
          <w:tcPr>
            <w:tcW w:w="37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2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30231</w:t>
            </w:r>
          </w:p>
        </w:tc>
        <w:tc>
          <w:tcPr>
            <w:tcW w:w="73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公务用车运行维护费</w:t>
            </w:r>
          </w:p>
        </w:tc>
        <w:tc>
          <w:tcPr>
            <w:tcW w:w="31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12.00</w:t>
            </w:r>
          </w:p>
        </w:tc>
        <w:tc>
          <w:tcPr>
            <w:tcW w:w="349"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39999</w:t>
            </w:r>
          </w:p>
        </w:tc>
        <w:tc>
          <w:tcPr>
            <w:tcW w:w="104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其他支出</w:t>
            </w:r>
          </w:p>
        </w:tc>
        <w:tc>
          <w:tcPr>
            <w:tcW w:w="46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r>
      <w:tr>
        <w:tblPrEx>
          <w:tblCellMar>
            <w:top w:w="0" w:type="dxa"/>
            <w:left w:w="0" w:type="dxa"/>
            <w:bottom w:w="0" w:type="dxa"/>
            <w:right w:w="0" w:type="dxa"/>
          </w:tblCellMar>
        </w:tblPrEx>
        <w:trPr>
          <w:trHeight w:val="308" w:hRule="atLeast"/>
        </w:trPr>
        <w:tc>
          <w:tcPr>
            <w:tcW w:w="37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30311</w:t>
            </w:r>
          </w:p>
        </w:tc>
        <w:tc>
          <w:tcPr>
            <w:tcW w:w="104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代缴社会保险费</w:t>
            </w:r>
          </w:p>
        </w:tc>
        <w:tc>
          <w:tcPr>
            <w:tcW w:w="37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2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30239</w:t>
            </w:r>
          </w:p>
        </w:tc>
        <w:tc>
          <w:tcPr>
            <w:tcW w:w="73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其他交通费用</w:t>
            </w:r>
          </w:p>
        </w:tc>
        <w:tc>
          <w:tcPr>
            <w:tcW w:w="31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70.00</w:t>
            </w:r>
          </w:p>
        </w:tc>
        <w:tc>
          <w:tcPr>
            <w:tcW w:w="349"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0"/>
                <w:szCs w:val="20"/>
                <w:u w:val="none"/>
              </w:rPr>
            </w:pPr>
          </w:p>
        </w:tc>
        <w:tc>
          <w:tcPr>
            <w:tcW w:w="104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0"/>
                <w:szCs w:val="20"/>
                <w:u w:val="none"/>
              </w:rPr>
            </w:pPr>
          </w:p>
        </w:tc>
        <w:tc>
          <w:tcPr>
            <w:tcW w:w="46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08" w:hRule="atLeast"/>
        </w:trPr>
        <w:tc>
          <w:tcPr>
            <w:tcW w:w="37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30399</w:t>
            </w:r>
          </w:p>
        </w:tc>
        <w:tc>
          <w:tcPr>
            <w:tcW w:w="104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其他对个人和家庭的补助</w:t>
            </w:r>
          </w:p>
        </w:tc>
        <w:tc>
          <w:tcPr>
            <w:tcW w:w="37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2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30240</w:t>
            </w:r>
          </w:p>
        </w:tc>
        <w:tc>
          <w:tcPr>
            <w:tcW w:w="73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税金及附加费用</w:t>
            </w:r>
          </w:p>
        </w:tc>
        <w:tc>
          <w:tcPr>
            <w:tcW w:w="31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0.00</w:t>
            </w:r>
          </w:p>
        </w:tc>
        <w:tc>
          <w:tcPr>
            <w:tcW w:w="349"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0"/>
                <w:szCs w:val="20"/>
                <w:u w:val="none"/>
              </w:rPr>
            </w:pPr>
          </w:p>
        </w:tc>
        <w:tc>
          <w:tcPr>
            <w:tcW w:w="104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0"/>
                <w:szCs w:val="20"/>
                <w:u w:val="none"/>
              </w:rPr>
            </w:pPr>
          </w:p>
        </w:tc>
        <w:tc>
          <w:tcPr>
            <w:tcW w:w="46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08" w:hRule="atLeast"/>
        </w:trPr>
        <w:tc>
          <w:tcPr>
            <w:tcW w:w="375" w:type="pct"/>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0"/>
                <w:szCs w:val="20"/>
                <w:u w:val="none"/>
              </w:rPr>
            </w:pPr>
          </w:p>
        </w:tc>
        <w:tc>
          <w:tcPr>
            <w:tcW w:w="104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0"/>
                <w:szCs w:val="20"/>
                <w:u w:val="none"/>
              </w:rPr>
            </w:pPr>
          </w:p>
        </w:tc>
        <w:tc>
          <w:tcPr>
            <w:tcW w:w="37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0"/>
                <w:szCs w:val="20"/>
                <w:u w:val="none"/>
              </w:rPr>
            </w:pPr>
          </w:p>
        </w:tc>
        <w:tc>
          <w:tcPr>
            <w:tcW w:w="2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30299</w:t>
            </w:r>
          </w:p>
        </w:tc>
        <w:tc>
          <w:tcPr>
            <w:tcW w:w="73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其他商品和服务支出</w:t>
            </w:r>
          </w:p>
        </w:tc>
        <w:tc>
          <w:tcPr>
            <w:tcW w:w="31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35.00</w:t>
            </w:r>
          </w:p>
        </w:tc>
        <w:tc>
          <w:tcPr>
            <w:tcW w:w="349"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0"/>
                <w:szCs w:val="20"/>
                <w:u w:val="none"/>
              </w:rPr>
            </w:pPr>
          </w:p>
        </w:tc>
        <w:tc>
          <w:tcPr>
            <w:tcW w:w="1043"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jc w:val="left"/>
              <w:rPr>
                <w:rFonts w:hint="eastAsia" w:ascii="宋体" w:hAnsi="宋体" w:eastAsia="宋体" w:cs="宋体"/>
                <w:i w:val="0"/>
                <w:color w:val="000000"/>
                <w:sz w:val="20"/>
                <w:szCs w:val="20"/>
                <w:u w:val="none"/>
              </w:rPr>
            </w:pPr>
          </w:p>
        </w:tc>
        <w:tc>
          <w:tcPr>
            <w:tcW w:w="46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08" w:hRule="atLeast"/>
        </w:trPr>
        <w:tc>
          <w:tcPr>
            <w:tcW w:w="1423" w:type="pct"/>
            <w:gridSpan w:val="2"/>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人员经费合计</w:t>
            </w:r>
          </w:p>
        </w:tc>
        <w:tc>
          <w:tcPr>
            <w:tcW w:w="37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7,210.60</w:t>
            </w:r>
          </w:p>
        </w:tc>
        <w:tc>
          <w:tcPr>
            <w:tcW w:w="2738" w:type="pct"/>
            <w:gridSpan w:val="5"/>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公用经费合计</w:t>
            </w:r>
          </w:p>
        </w:tc>
        <w:tc>
          <w:tcPr>
            <w:tcW w:w="466"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6,554.40</w:t>
            </w:r>
          </w:p>
        </w:tc>
      </w:tr>
      <w:tr>
        <w:tblPrEx>
          <w:tblCellMar>
            <w:top w:w="0" w:type="dxa"/>
            <w:left w:w="0" w:type="dxa"/>
            <w:bottom w:w="0" w:type="dxa"/>
            <w:right w:w="0" w:type="dxa"/>
          </w:tblCellMar>
        </w:tblPrEx>
        <w:trPr>
          <w:trHeight w:val="308" w:hRule="atLeast"/>
        </w:trPr>
        <w:tc>
          <w:tcPr>
            <w:tcW w:w="5000" w:type="pct"/>
            <w:gridSpan w:val="9"/>
            <w:tcBorders>
              <w:top w:val="nil"/>
              <w:left w:val="nil"/>
              <w:bottom w:val="nil"/>
              <w:right w:val="nil"/>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注：本表反映部门本年度一般公共预算财政拨款基本支出明细情况。</w:t>
            </w:r>
          </w:p>
        </w:tc>
      </w:tr>
    </w:tbl>
    <w:p>
      <w:pPr>
        <w:rPr>
          <w:sz w:val="16"/>
        </w:rPr>
      </w:pPr>
    </w:p>
    <w:p>
      <w:pPr>
        <w:pStyle w:val="6"/>
        <w:spacing w:before="5"/>
        <w:rPr>
          <w:sz w:val="16"/>
        </w:rPr>
      </w:pPr>
    </w:p>
    <w:p>
      <w:pPr>
        <w:pStyle w:val="4"/>
        <w:ind w:left="4040"/>
        <w:jc w:val="left"/>
      </w:pPr>
    </w:p>
    <w:p>
      <w:r>
        <w:br w:type="page"/>
      </w:r>
    </w:p>
    <w:p>
      <w:pPr>
        <w:pStyle w:val="4"/>
        <w:ind w:left="4040"/>
        <w:jc w:val="left"/>
      </w:pPr>
      <w:r>
        <w:t>一般公共预算财政拨款</w:t>
      </w:r>
      <w:r>
        <w:rPr>
          <w:rFonts w:ascii="Times New Roman" w:hAnsi="Times New Roman" w:eastAsia="Times New Roman"/>
        </w:rPr>
        <w:t>“</w:t>
      </w:r>
      <w:r>
        <w:t>三公</w:t>
      </w:r>
      <w:r>
        <w:rPr>
          <w:rFonts w:ascii="Times New Roman" w:hAnsi="Times New Roman" w:eastAsia="Times New Roman"/>
        </w:rPr>
        <w:t>”</w:t>
      </w:r>
      <w:r>
        <w:t>经费支出决算表</w:t>
      </w:r>
    </w:p>
    <w:p>
      <w:pPr>
        <w:rPr>
          <w:sz w:val="20"/>
        </w:rPr>
      </w:pPr>
    </w:p>
    <w:tbl>
      <w:tblPr>
        <w:tblStyle w:val="8"/>
        <w:tblW w:w="4997" w:type="pct"/>
        <w:tblInd w:w="0" w:type="dxa"/>
        <w:shd w:val="clear" w:color="auto" w:fill="auto"/>
        <w:tblLayout w:type="autofit"/>
        <w:tblCellMar>
          <w:top w:w="0" w:type="dxa"/>
          <w:left w:w="0" w:type="dxa"/>
          <w:bottom w:w="0" w:type="dxa"/>
          <w:right w:w="0" w:type="dxa"/>
        </w:tblCellMar>
      </w:tblPr>
      <w:tblGrid>
        <w:gridCol w:w="2424"/>
        <w:gridCol w:w="1139"/>
        <w:gridCol w:w="1139"/>
        <w:gridCol w:w="1139"/>
        <w:gridCol w:w="1142"/>
        <w:gridCol w:w="1148"/>
        <w:gridCol w:w="1139"/>
        <w:gridCol w:w="1139"/>
        <w:gridCol w:w="1139"/>
        <w:gridCol w:w="1139"/>
        <w:gridCol w:w="1143"/>
        <w:gridCol w:w="1425"/>
      </w:tblGrid>
      <w:tr>
        <w:tblPrEx>
          <w:shd w:val="clear" w:color="auto" w:fill="auto"/>
          <w:tblCellMar>
            <w:top w:w="0" w:type="dxa"/>
            <w:left w:w="0" w:type="dxa"/>
            <w:bottom w:w="0" w:type="dxa"/>
            <w:right w:w="0" w:type="dxa"/>
          </w:tblCellMar>
        </w:tblPrEx>
        <w:trPr>
          <w:trHeight w:val="264" w:hRule="atLeast"/>
        </w:trPr>
        <w:tc>
          <w:tcPr>
            <w:tcW w:w="659" w:type="pct"/>
            <w:tcBorders>
              <w:top w:val="nil"/>
              <w:left w:val="nil"/>
              <w:bottom w:val="nil"/>
              <w:right w:val="nil"/>
            </w:tcBorders>
            <w:shd w:val="clear" w:color="auto" w:fill="auto"/>
            <w:noWrap/>
            <w:tcMar>
              <w:top w:w="12" w:type="dxa"/>
              <w:left w:w="12" w:type="dxa"/>
              <w:right w:w="12" w:type="dxa"/>
            </w:tcMar>
            <w:vAlign w:val="bottom"/>
          </w:tcPr>
          <w:p>
            <w:pPr>
              <w:rPr>
                <w:rFonts w:hint="eastAsia" w:ascii="Arial" w:hAnsi="Arial" w:cs="Arial"/>
                <w:i w:val="0"/>
                <w:color w:val="000000"/>
                <w:sz w:val="20"/>
                <w:szCs w:val="20"/>
                <w:u w:val="none"/>
              </w:rPr>
            </w:pPr>
          </w:p>
        </w:tc>
        <w:tc>
          <w:tcPr>
            <w:tcW w:w="394"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394"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394"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394"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394"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394"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394"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394"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394"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394"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394" w:type="pct"/>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公开07表</w:t>
            </w:r>
          </w:p>
        </w:tc>
      </w:tr>
      <w:tr>
        <w:tblPrEx>
          <w:tblCellMar>
            <w:top w:w="0" w:type="dxa"/>
            <w:left w:w="0" w:type="dxa"/>
            <w:bottom w:w="0" w:type="dxa"/>
            <w:right w:w="0" w:type="dxa"/>
          </w:tblCellMar>
        </w:tblPrEx>
        <w:trPr>
          <w:trHeight w:val="264" w:hRule="atLeast"/>
        </w:trPr>
        <w:tc>
          <w:tcPr>
            <w:tcW w:w="659" w:type="pct"/>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部门：东安县白牙市镇政府</w:t>
            </w:r>
          </w:p>
        </w:tc>
        <w:tc>
          <w:tcPr>
            <w:tcW w:w="394"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394"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394"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394"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394"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394"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394"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394"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394"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394"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394" w:type="pct"/>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tblCellMar>
            <w:top w:w="0" w:type="dxa"/>
            <w:left w:w="0" w:type="dxa"/>
            <w:bottom w:w="0" w:type="dxa"/>
            <w:right w:w="0" w:type="dxa"/>
          </w:tblCellMar>
        </w:tblPrEx>
        <w:trPr>
          <w:trHeight w:val="308" w:hRule="atLeast"/>
        </w:trPr>
        <w:tc>
          <w:tcPr>
            <w:tcW w:w="2632" w:type="pct"/>
            <w:gridSpan w:val="6"/>
            <w:tcBorders>
              <w:top w:val="single" w:color="000000" w:sz="4" w:space="0"/>
              <w:left w:val="single" w:color="000000" w:sz="4" w:space="0"/>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预算数</w:t>
            </w:r>
          </w:p>
        </w:tc>
        <w:tc>
          <w:tcPr>
            <w:tcW w:w="2367" w:type="pct"/>
            <w:gridSpan w:val="6"/>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决算数</w:t>
            </w:r>
          </w:p>
        </w:tc>
      </w:tr>
      <w:tr>
        <w:tblPrEx>
          <w:tblCellMar>
            <w:top w:w="0" w:type="dxa"/>
            <w:left w:w="0" w:type="dxa"/>
            <w:bottom w:w="0" w:type="dxa"/>
            <w:right w:w="0" w:type="dxa"/>
          </w:tblCellMar>
        </w:tblPrEx>
        <w:trPr>
          <w:trHeight w:val="308" w:hRule="atLeast"/>
        </w:trPr>
        <w:tc>
          <w:tcPr>
            <w:tcW w:w="659" w:type="pct"/>
            <w:vMerge w:val="restart"/>
            <w:tcBorders>
              <w:top w:val="nil"/>
              <w:left w:val="single" w:color="000000" w:sz="4" w:space="0"/>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394" w:type="pct"/>
            <w:vMerge w:val="restar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因公出国（境）费</w:t>
            </w:r>
          </w:p>
        </w:tc>
        <w:tc>
          <w:tcPr>
            <w:tcW w:w="1183" w:type="pct"/>
            <w:gridSpan w:val="3"/>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公务用车购置及运行费</w:t>
            </w:r>
          </w:p>
        </w:tc>
        <w:tc>
          <w:tcPr>
            <w:tcW w:w="394" w:type="pct"/>
            <w:vMerge w:val="restar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公务接待费</w:t>
            </w:r>
          </w:p>
        </w:tc>
        <w:tc>
          <w:tcPr>
            <w:tcW w:w="394" w:type="pct"/>
            <w:vMerge w:val="restar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394" w:type="pct"/>
            <w:vMerge w:val="restar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因公出国（境）费</w:t>
            </w:r>
          </w:p>
        </w:tc>
        <w:tc>
          <w:tcPr>
            <w:tcW w:w="1183" w:type="pct"/>
            <w:gridSpan w:val="3"/>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公务用车购置及运行费</w:t>
            </w:r>
          </w:p>
        </w:tc>
        <w:tc>
          <w:tcPr>
            <w:tcW w:w="394" w:type="pct"/>
            <w:vMerge w:val="restar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公务接待费</w:t>
            </w:r>
          </w:p>
        </w:tc>
      </w:tr>
      <w:tr>
        <w:tblPrEx>
          <w:tblCellMar>
            <w:top w:w="0" w:type="dxa"/>
            <w:left w:w="0" w:type="dxa"/>
            <w:bottom w:w="0" w:type="dxa"/>
            <w:right w:w="0" w:type="dxa"/>
          </w:tblCellMar>
        </w:tblPrEx>
        <w:trPr>
          <w:trHeight w:val="615" w:hRule="atLeast"/>
        </w:trPr>
        <w:tc>
          <w:tcPr>
            <w:tcW w:w="659" w:type="pct"/>
            <w:vMerge w:val="continue"/>
            <w:tcBorders>
              <w:top w:val="nil"/>
              <w:left w:val="single" w:color="000000" w:sz="4" w:space="0"/>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94"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94" w:type="pc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394" w:type="pc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公务用车购置费</w:t>
            </w:r>
          </w:p>
        </w:tc>
        <w:tc>
          <w:tcPr>
            <w:tcW w:w="394" w:type="pc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公务用车运行费</w:t>
            </w:r>
          </w:p>
        </w:tc>
        <w:tc>
          <w:tcPr>
            <w:tcW w:w="394"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94"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94"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394" w:type="pc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394" w:type="pc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公务用车购置费</w:t>
            </w:r>
          </w:p>
        </w:tc>
        <w:tc>
          <w:tcPr>
            <w:tcW w:w="394" w:type="pc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公务用车运行费</w:t>
            </w:r>
          </w:p>
        </w:tc>
        <w:tc>
          <w:tcPr>
            <w:tcW w:w="394"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659" w:type="pct"/>
            <w:tcBorders>
              <w:top w:val="nil"/>
              <w:left w:val="single" w:color="000000" w:sz="4" w:space="0"/>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394" w:type="pc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394" w:type="pc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394" w:type="pc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394" w:type="pc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394" w:type="pc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394" w:type="pc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394" w:type="pc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394" w:type="pc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394" w:type="pc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394" w:type="pc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394" w:type="pc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r>
      <w:tr>
        <w:tblPrEx>
          <w:tblCellMar>
            <w:top w:w="0" w:type="dxa"/>
            <w:left w:w="0" w:type="dxa"/>
            <w:bottom w:w="0" w:type="dxa"/>
            <w:right w:w="0" w:type="dxa"/>
          </w:tblCellMar>
        </w:tblPrEx>
        <w:trPr>
          <w:trHeight w:val="308" w:hRule="atLeast"/>
        </w:trPr>
        <w:tc>
          <w:tcPr>
            <w:tcW w:w="659" w:type="pct"/>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w:t>
            </w:r>
          </w:p>
        </w:tc>
        <w:tc>
          <w:tcPr>
            <w:tcW w:w="394"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394"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20.00</w:t>
            </w:r>
          </w:p>
        </w:tc>
        <w:tc>
          <w:tcPr>
            <w:tcW w:w="394"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394"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20.00</w:t>
            </w:r>
          </w:p>
        </w:tc>
        <w:tc>
          <w:tcPr>
            <w:tcW w:w="394"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c>
          <w:tcPr>
            <w:tcW w:w="394"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24.00</w:t>
            </w:r>
          </w:p>
        </w:tc>
        <w:tc>
          <w:tcPr>
            <w:tcW w:w="394"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394"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12.00</w:t>
            </w:r>
          </w:p>
        </w:tc>
        <w:tc>
          <w:tcPr>
            <w:tcW w:w="394"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394"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12.00</w:t>
            </w:r>
          </w:p>
        </w:tc>
        <w:tc>
          <w:tcPr>
            <w:tcW w:w="394"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12.00</w:t>
            </w:r>
          </w:p>
        </w:tc>
      </w:tr>
      <w:tr>
        <w:tblPrEx>
          <w:tblCellMar>
            <w:top w:w="0" w:type="dxa"/>
            <w:left w:w="0" w:type="dxa"/>
            <w:bottom w:w="0" w:type="dxa"/>
            <w:right w:w="0" w:type="dxa"/>
          </w:tblCellMar>
        </w:tblPrEx>
        <w:trPr>
          <w:trHeight w:val="615" w:hRule="atLeast"/>
        </w:trPr>
        <w:tc>
          <w:tcPr>
            <w:tcW w:w="5000" w:type="pct"/>
            <w:gridSpan w:val="12"/>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本表反映部门本年度“三公”经费支出预决算情况。其中，预算数为“三公”经费全年预算数，反映按规定程序调整后的预算数；决算数是包括当年一般公共预算财政拨款和以前年度结转资金安排的实际支出。</w:t>
            </w:r>
          </w:p>
        </w:tc>
      </w:tr>
    </w:tbl>
    <w:p>
      <w:pPr>
        <w:rPr>
          <w:sz w:val="20"/>
        </w:rPr>
      </w:pPr>
    </w:p>
    <w:p>
      <w:pPr>
        <w:pStyle w:val="6"/>
        <w:rPr>
          <w:sz w:val="20"/>
        </w:rPr>
      </w:pPr>
    </w:p>
    <w:p>
      <w:pPr>
        <w:rPr>
          <w:sz w:val="16"/>
        </w:rPr>
      </w:pPr>
      <w:r>
        <w:rPr>
          <w:sz w:val="16"/>
        </w:rPr>
        <w:br w:type="page"/>
      </w:r>
    </w:p>
    <w:p>
      <w:pPr>
        <w:pStyle w:val="6"/>
        <w:spacing w:before="5"/>
        <w:rPr>
          <w:sz w:val="16"/>
        </w:rPr>
      </w:pPr>
    </w:p>
    <w:p>
      <w:pPr>
        <w:pStyle w:val="4"/>
        <w:ind w:left="4379"/>
        <w:jc w:val="left"/>
      </w:pPr>
      <w:r>
        <w:t>政府性基金预算财政拨款收入支出决算表</w:t>
      </w:r>
    </w:p>
    <w:p>
      <w:pPr>
        <w:spacing w:before="43"/>
        <w:rPr>
          <w:sz w:val="21"/>
        </w:rPr>
      </w:pPr>
    </w:p>
    <w:tbl>
      <w:tblPr>
        <w:tblStyle w:val="8"/>
        <w:tblW w:w="4998" w:type="pct"/>
        <w:tblInd w:w="0" w:type="dxa"/>
        <w:shd w:val="clear" w:color="auto" w:fill="auto"/>
        <w:tblLayout w:type="autofit"/>
        <w:tblCellMar>
          <w:top w:w="0" w:type="dxa"/>
          <w:left w:w="0" w:type="dxa"/>
          <w:bottom w:w="0" w:type="dxa"/>
          <w:right w:w="0" w:type="dxa"/>
        </w:tblCellMar>
      </w:tblPr>
      <w:tblGrid>
        <w:gridCol w:w="2424"/>
        <w:gridCol w:w="171"/>
        <w:gridCol w:w="177"/>
        <w:gridCol w:w="4204"/>
        <w:gridCol w:w="1370"/>
        <w:gridCol w:w="1370"/>
        <w:gridCol w:w="1370"/>
        <w:gridCol w:w="1370"/>
        <w:gridCol w:w="1377"/>
        <w:gridCol w:w="1425"/>
      </w:tblGrid>
      <w:tr>
        <w:tblPrEx>
          <w:shd w:val="clear" w:color="auto" w:fill="auto"/>
          <w:tblCellMar>
            <w:top w:w="0" w:type="dxa"/>
            <w:left w:w="0" w:type="dxa"/>
            <w:bottom w:w="0" w:type="dxa"/>
            <w:right w:w="0" w:type="dxa"/>
          </w:tblCellMar>
        </w:tblPrEx>
        <w:trPr>
          <w:trHeight w:val="264" w:hRule="atLeast"/>
        </w:trPr>
        <w:tc>
          <w:tcPr>
            <w:tcW w:w="685" w:type="pct"/>
            <w:tcBorders>
              <w:top w:val="nil"/>
              <w:left w:val="nil"/>
              <w:bottom w:val="nil"/>
              <w:right w:val="nil"/>
            </w:tcBorders>
            <w:shd w:val="clear" w:color="auto" w:fill="auto"/>
            <w:noWrap/>
            <w:tcMar>
              <w:top w:w="12" w:type="dxa"/>
              <w:left w:w="12" w:type="dxa"/>
              <w:right w:w="12" w:type="dxa"/>
            </w:tcMar>
            <w:vAlign w:val="bottom"/>
          </w:tcPr>
          <w:p>
            <w:pPr>
              <w:rPr>
                <w:rFonts w:hint="eastAsia" w:ascii="Arial" w:hAnsi="Arial" w:cs="Arial"/>
                <w:i w:val="0"/>
                <w:color w:val="000000"/>
                <w:sz w:val="20"/>
                <w:szCs w:val="20"/>
                <w:u w:val="none"/>
              </w:rPr>
            </w:pPr>
          </w:p>
        </w:tc>
        <w:tc>
          <w:tcPr>
            <w:tcW w:w="95"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95"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1189"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488"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488"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488"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488"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488"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488" w:type="pct"/>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公开08表</w:t>
            </w:r>
          </w:p>
        </w:tc>
      </w:tr>
      <w:tr>
        <w:tblPrEx>
          <w:tblCellMar>
            <w:top w:w="0" w:type="dxa"/>
            <w:left w:w="0" w:type="dxa"/>
            <w:bottom w:w="0" w:type="dxa"/>
            <w:right w:w="0" w:type="dxa"/>
          </w:tblCellMar>
        </w:tblPrEx>
        <w:trPr>
          <w:trHeight w:val="264" w:hRule="atLeast"/>
        </w:trPr>
        <w:tc>
          <w:tcPr>
            <w:tcW w:w="685" w:type="pct"/>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部门：东安县白牙市镇政府</w:t>
            </w:r>
          </w:p>
        </w:tc>
        <w:tc>
          <w:tcPr>
            <w:tcW w:w="95"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95"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1189"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488"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488"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488"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488"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488"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488" w:type="pct"/>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tblCellMar>
            <w:top w:w="0" w:type="dxa"/>
            <w:left w:w="0" w:type="dxa"/>
            <w:bottom w:w="0" w:type="dxa"/>
            <w:right w:w="0" w:type="dxa"/>
          </w:tblCellMar>
        </w:tblPrEx>
        <w:trPr>
          <w:trHeight w:val="308" w:hRule="atLeast"/>
        </w:trPr>
        <w:tc>
          <w:tcPr>
            <w:tcW w:w="2066" w:type="pct"/>
            <w:gridSpan w:val="4"/>
            <w:tcBorders>
              <w:top w:val="single" w:color="000000" w:sz="4" w:space="0"/>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488" w:type="pct"/>
            <w:vMerge w:val="restart"/>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年初结转和结余</w:t>
            </w:r>
          </w:p>
        </w:tc>
        <w:tc>
          <w:tcPr>
            <w:tcW w:w="488" w:type="pct"/>
            <w:vMerge w:val="restart"/>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本年收入</w:t>
            </w:r>
          </w:p>
        </w:tc>
        <w:tc>
          <w:tcPr>
            <w:tcW w:w="1466" w:type="pct"/>
            <w:gridSpan w:val="3"/>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w:t>
            </w:r>
          </w:p>
        </w:tc>
        <w:tc>
          <w:tcPr>
            <w:tcW w:w="488" w:type="pct"/>
            <w:vMerge w:val="restart"/>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年末结转和结余</w:t>
            </w:r>
          </w:p>
        </w:tc>
      </w:tr>
      <w:tr>
        <w:tblPrEx>
          <w:tblCellMar>
            <w:top w:w="0" w:type="dxa"/>
            <w:left w:w="0" w:type="dxa"/>
            <w:bottom w:w="0" w:type="dxa"/>
            <w:right w:w="0" w:type="dxa"/>
          </w:tblCellMar>
        </w:tblPrEx>
        <w:trPr>
          <w:trHeight w:val="308" w:hRule="atLeast"/>
        </w:trPr>
        <w:tc>
          <w:tcPr>
            <w:tcW w:w="877" w:type="pct"/>
            <w:gridSpan w:val="3"/>
            <w:vMerge w:val="restart"/>
            <w:tcBorders>
              <w:top w:val="nil"/>
              <w:left w:val="single" w:color="000000" w:sz="4" w:space="0"/>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功能分类科目编码</w:t>
            </w:r>
          </w:p>
        </w:tc>
        <w:tc>
          <w:tcPr>
            <w:tcW w:w="1189" w:type="pct"/>
            <w:vMerge w:val="restar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488"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88"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88" w:type="pct"/>
            <w:vMerge w:val="restar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488" w:type="pct"/>
            <w:vMerge w:val="restar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488" w:type="pct"/>
            <w:vMerge w:val="restar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c>
          <w:tcPr>
            <w:tcW w:w="488"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877" w:type="pct"/>
            <w:gridSpan w:val="3"/>
            <w:vMerge w:val="continue"/>
            <w:tcBorders>
              <w:top w:val="nil"/>
              <w:left w:val="single" w:color="000000" w:sz="4" w:space="0"/>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189" w:type="pct"/>
            <w:vMerge w:val="continue"/>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88"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88"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88"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88"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88"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88"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877" w:type="pct"/>
            <w:gridSpan w:val="3"/>
            <w:vMerge w:val="continue"/>
            <w:tcBorders>
              <w:top w:val="nil"/>
              <w:left w:val="single" w:color="000000" w:sz="4" w:space="0"/>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189" w:type="pct"/>
            <w:vMerge w:val="continue"/>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88"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88"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88"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88"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88"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488" w:type="pct"/>
            <w:vMerge w:val="continue"/>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2066" w:type="pct"/>
            <w:gridSpan w:val="4"/>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4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4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4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4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4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488"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r>
      <w:tr>
        <w:tblPrEx>
          <w:tblCellMar>
            <w:top w:w="0" w:type="dxa"/>
            <w:left w:w="0" w:type="dxa"/>
            <w:bottom w:w="0" w:type="dxa"/>
            <w:right w:w="0" w:type="dxa"/>
          </w:tblCellMar>
        </w:tblPrEx>
        <w:trPr>
          <w:trHeight w:val="308" w:hRule="atLeast"/>
        </w:trPr>
        <w:tc>
          <w:tcPr>
            <w:tcW w:w="2066" w:type="pct"/>
            <w:gridSpan w:val="4"/>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3,091.00</w:t>
            </w: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3,091.00</w:t>
            </w: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3,091.00</w:t>
            </w: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77"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212</w:t>
            </w:r>
          </w:p>
        </w:tc>
        <w:tc>
          <w:tcPr>
            <w:tcW w:w="1189"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城乡社区支出</w:t>
            </w: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3,091.00</w:t>
            </w: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3,091.00</w:t>
            </w: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3,091.00</w:t>
            </w: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77"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21208</w:t>
            </w:r>
          </w:p>
        </w:tc>
        <w:tc>
          <w:tcPr>
            <w:tcW w:w="1189"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国有土地使用权出让收入安排的支出</w:t>
            </w: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3,091.00</w:t>
            </w: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3,091.00</w:t>
            </w: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3,091.00</w:t>
            </w: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77"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2120899</w:t>
            </w:r>
          </w:p>
        </w:tc>
        <w:tc>
          <w:tcPr>
            <w:tcW w:w="1189"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其他国有土地使用权出让收入安排的支出</w:t>
            </w: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3,091.00</w:t>
            </w: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3,091.00</w:t>
            </w: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3,091.00</w:t>
            </w: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308" w:hRule="atLeast"/>
        </w:trPr>
        <w:tc>
          <w:tcPr>
            <w:tcW w:w="877"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189"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877"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189"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877"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189"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877"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189"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877"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189"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488"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5000" w:type="pct"/>
            <w:gridSpan w:val="10"/>
            <w:tcBorders>
              <w:top w:val="nil"/>
              <w:left w:val="nil"/>
              <w:bottom w:val="nil"/>
              <w:right w:val="nil"/>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注：本表反映部门本年度政府性基金预算财政拨款收入、支出及结转和结余情况。</w:t>
            </w:r>
          </w:p>
        </w:tc>
      </w:tr>
    </w:tbl>
    <w:p>
      <w:pPr>
        <w:rPr>
          <w:sz w:val="21"/>
        </w:rPr>
      </w:pPr>
      <w:r>
        <w:rPr>
          <w:sz w:val="21"/>
        </w:rPr>
        <w:br w:type="page"/>
      </w:r>
    </w:p>
    <w:tbl>
      <w:tblPr>
        <w:tblStyle w:val="8"/>
        <w:tblW w:w="5000" w:type="pct"/>
        <w:tblInd w:w="0" w:type="dxa"/>
        <w:shd w:val="clear" w:color="auto" w:fill="auto"/>
        <w:tblLayout w:type="autofit"/>
        <w:tblCellMar>
          <w:top w:w="0" w:type="dxa"/>
          <w:left w:w="0" w:type="dxa"/>
          <w:bottom w:w="0" w:type="dxa"/>
          <w:right w:w="0" w:type="dxa"/>
        </w:tblCellMar>
      </w:tblPr>
      <w:tblGrid>
        <w:gridCol w:w="5330"/>
        <w:gridCol w:w="64"/>
        <w:gridCol w:w="67"/>
        <w:gridCol w:w="1990"/>
        <w:gridCol w:w="2167"/>
        <w:gridCol w:w="2168"/>
        <w:gridCol w:w="3478"/>
      </w:tblGrid>
      <w:tr>
        <w:tblPrEx>
          <w:shd w:val="clear" w:color="auto" w:fill="auto"/>
          <w:tblCellMar>
            <w:top w:w="0" w:type="dxa"/>
            <w:left w:w="0" w:type="dxa"/>
            <w:bottom w:w="0" w:type="dxa"/>
            <w:right w:w="0" w:type="dxa"/>
          </w:tblCellMar>
        </w:tblPrEx>
        <w:trPr>
          <w:trHeight w:val="384" w:hRule="atLeast"/>
        </w:trPr>
        <w:tc>
          <w:tcPr>
            <w:tcW w:w="5000" w:type="pct"/>
            <w:gridSpan w:val="7"/>
            <w:tcBorders>
              <w:top w:val="nil"/>
              <w:left w:val="nil"/>
              <w:bottom w:val="nil"/>
              <w:right w:val="nil"/>
            </w:tcBorders>
            <w:shd w:val="clear" w:color="auto" w:fill="auto"/>
            <w:noWrap/>
            <w:tcMar>
              <w:top w:w="12" w:type="dxa"/>
              <w:left w:w="12" w:type="dxa"/>
              <w:right w:w="12" w:type="dxa"/>
            </w:tcMar>
            <w:vAlign w:val="bottom"/>
          </w:tcPr>
          <w:p>
            <w:pPr>
              <w:jc w:val="center"/>
              <w:rPr>
                <w:rFonts w:hint="default" w:ascii="Arial" w:hAnsi="Arial" w:cs="Arial"/>
                <w:i w:val="0"/>
                <w:color w:val="000000"/>
                <w:sz w:val="20"/>
                <w:szCs w:val="20"/>
                <w:u w:val="none"/>
              </w:rPr>
            </w:pPr>
            <w:r>
              <w:rPr>
                <w:rFonts w:hint="eastAsia" w:ascii="宋体" w:hAnsi="宋体" w:eastAsia="宋体" w:cs="宋体"/>
                <w:i w:val="0"/>
                <w:color w:val="000000"/>
                <w:kern w:val="0"/>
                <w:sz w:val="36"/>
                <w:szCs w:val="36"/>
                <w:u w:val="none"/>
                <w:lang w:val="en-US" w:eastAsia="zh-CN" w:bidi="ar"/>
              </w:rPr>
              <w:t>国有资本经营预算财政拨款支出决算表</w:t>
            </w:r>
          </w:p>
        </w:tc>
      </w:tr>
      <w:tr>
        <w:tblPrEx>
          <w:tblCellMar>
            <w:top w:w="0" w:type="dxa"/>
            <w:left w:w="0" w:type="dxa"/>
            <w:bottom w:w="0" w:type="dxa"/>
            <w:right w:w="0" w:type="dxa"/>
          </w:tblCellMar>
        </w:tblPrEx>
        <w:trPr>
          <w:trHeight w:val="264" w:hRule="atLeast"/>
        </w:trPr>
        <w:tc>
          <w:tcPr>
            <w:tcW w:w="1746"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21"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21"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651"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710"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710"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1137" w:type="pct"/>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公开09表</w:t>
            </w:r>
          </w:p>
        </w:tc>
      </w:tr>
      <w:tr>
        <w:tblPrEx>
          <w:tblCellMar>
            <w:top w:w="0" w:type="dxa"/>
            <w:left w:w="0" w:type="dxa"/>
            <w:bottom w:w="0" w:type="dxa"/>
            <w:right w:w="0" w:type="dxa"/>
          </w:tblCellMar>
        </w:tblPrEx>
        <w:trPr>
          <w:trHeight w:val="264" w:hRule="atLeast"/>
        </w:trPr>
        <w:tc>
          <w:tcPr>
            <w:tcW w:w="1746" w:type="pct"/>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部门：东安县白牙市镇政府</w:t>
            </w:r>
          </w:p>
        </w:tc>
        <w:tc>
          <w:tcPr>
            <w:tcW w:w="21"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21"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651"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710"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710" w:type="pct"/>
            <w:tcBorders>
              <w:top w:val="nil"/>
              <w:left w:val="nil"/>
              <w:bottom w:val="nil"/>
              <w:right w:val="nil"/>
            </w:tcBorders>
            <w:shd w:val="clear" w:color="auto" w:fill="auto"/>
            <w:noWrap/>
            <w:tcMar>
              <w:top w:w="12" w:type="dxa"/>
              <w:left w:w="12" w:type="dxa"/>
              <w:right w:w="12" w:type="dxa"/>
            </w:tcMar>
            <w:vAlign w:val="bottom"/>
          </w:tcPr>
          <w:p>
            <w:pPr>
              <w:rPr>
                <w:rFonts w:hint="default" w:ascii="Arial" w:hAnsi="Arial" w:cs="Arial"/>
                <w:i w:val="0"/>
                <w:color w:val="000000"/>
                <w:sz w:val="20"/>
                <w:szCs w:val="20"/>
                <w:u w:val="none"/>
              </w:rPr>
            </w:pPr>
          </w:p>
        </w:tc>
        <w:tc>
          <w:tcPr>
            <w:tcW w:w="1137" w:type="pct"/>
            <w:tcBorders>
              <w:top w:val="nil"/>
              <w:left w:val="nil"/>
              <w:bottom w:val="nil"/>
              <w:right w:val="nil"/>
            </w:tcBorders>
            <w:shd w:val="clear" w:color="auto" w:fill="auto"/>
            <w:noWrap/>
            <w:tcMar>
              <w:top w:w="12" w:type="dxa"/>
              <w:left w:w="12" w:type="dxa"/>
              <w:right w:w="12"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tblCellMar>
            <w:top w:w="0" w:type="dxa"/>
            <w:left w:w="0" w:type="dxa"/>
            <w:bottom w:w="0" w:type="dxa"/>
            <w:right w:w="0" w:type="dxa"/>
          </w:tblCellMar>
        </w:tblPrEx>
        <w:trPr>
          <w:trHeight w:val="308" w:hRule="atLeast"/>
        </w:trPr>
        <w:tc>
          <w:tcPr>
            <w:tcW w:w="2441" w:type="pct"/>
            <w:gridSpan w:val="4"/>
            <w:tcBorders>
              <w:top w:val="single" w:color="000000" w:sz="4" w:space="0"/>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2558" w:type="pct"/>
            <w:gridSpan w:val="3"/>
            <w:tcBorders>
              <w:top w:val="single" w:color="000000" w:sz="4" w:space="0"/>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w:t>
            </w:r>
          </w:p>
        </w:tc>
      </w:tr>
      <w:tr>
        <w:tblPrEx>
          <w:tblCellMar>
            <w:top w:w="0" w:type="dxa"/>
            <w:left w:w="0" w:type="dxa"/>
            <w:bottom w:w="0" w:type="dxa"/>
            <w:right w:w="0" w:type="dxa"/>
          </w:tblCellMar>
        </w:tblPrEx>
        <w:trPr>
          <w:trHeight w:val="308" w:hRule="atLeast"/>
        </w:trPr>
        <w:tc>
          <w:tcPr>
            <w:tcW w:w="1789" w:type="pct"/>
            <w:gridSpan w:val="3"/>
            <w:vMerge w:val="restart"/>
            <w:tcBorders>
              <w:top w:val="nil"/>
              <w:left w:val="single" w:color="000000" w:sz="4" w:space="0"/>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功能分类科目编码</w:t>
            </w:r>
          </w:p>
        </w:tc>
        <w:tc>
          <w:tcPr>
            <w:tcW w:w="651" w:type="pct"/>
            <w:vMerge w:val="restar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710" w:type="pct"/>
            <w:vMerge w:val="restar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710" w:type="pct"/>
            <w:vMerge w:val="restar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1137" w:type="pct"/>
            <w:vMerge w:val="restart"/>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r>
      <w:tr>
        <w:tblPrEx>
          <w:tblCellMar>
            <w:top w:w="0" w:type="dxa"/>
            <w:left w:w="0" w:type="dxa"/>
            <w:bottom w:w="0" w:type="dxa"/>
            <w:right w:w="0" w:type="dxa"/>
          </w:tblCellMar>
        </w:tblPrEx>
        <w:trPr>
          <w:trHeight w:val="308" w:hRule="atLeast"/>
        </w:trPr>
        <w:tc>
          <w:tcPr>
            <w:tcW w:w="1789" w:type="pct"/>
            <w:gridSpan w:val="3"/>
            <w:vMerge w:val="continue"/>
            <w:tcBorders>
              <w:top w:val="nil"/>
              <w:left w:val="single" w:color="000000" w:sz="4" w:space="0"/>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51" w:type="pct"/>
            <w:vMerge w:val="continue"/>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10"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10"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137"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1789" w:type="pct"/>
            <w:gridSpan w:val="3"/>
            <w:vMerge w:val="continue"/>
            <w:tcBorders>
              <w:top w:val="nil"/>
              <w:left w:val="single" w:color="000000" w:sz="4" w:space="0"/>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651" w:type="pct"/>
            <w:vMerge w:val="continue"/>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10"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710"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137" w:type="pct"/>
            <w:vMerge w:val="continue"/>
            <w:tcBorders>
              <w:top w:val="nil"/>
              <w:left w:val="nil"/>
              <w:bottom w:val="single" w:color="000000" w:sz="4" w:space="0"/>
              <w:right w:val="single" w:color="000000" w:sz="4" w:space="0"/>
            </w:tcBorders>
            <w:shd w:val="clear" w:color="FFFFFF" w:fill="C0C0C0"/>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2441" w:type="pct"/>
            <w:gridSpan w:val="4"/>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710"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710"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137" w:type="pct"/>
            <w:tcBorders>
              <w:top w:val="nil"/>
              <w:left w:val="nil"/>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r>
      <w:tr>
        <w:tblPrEx>
          <w:tblCellMar>
            <w:top w:w="0" w:type="dxa"/>
            <w:left w:w="0" w:type="dxa"/>
            <w:bottom w:w="0" w:type="dxa"/>
            <w:right w:w="0" w:type="dxa"/>
          </w:tblCellMar>
        </w:tblPrEx>
        <w:trPr>
          <w:trHeight w:val="308" w:hRule="atLeast"/>
        </w:trPr>
        <w:tc>
          <w:tcPr>
            <w:tcW w:w="2441" w:type="pct"/>
            <w:gridSpan w:val="4"/>
            <w:tcBorders>
              <w:top w:val="nil"/>
              <w:left w:val="single" w:color="000000" w:sz="4" w:space="0"/>
              <w:bottom w:val="single" w:color="000000" w:sz="4" w:space="0"/>
              <w:right w:val="single" w:color="000000" w:sz="4" w:space="0"/>
            </w:tcBorders>
            <w:shd w:val="clear" w:color="FFFFFF" w:fill="C0C0C0"/>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710"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b/>
                <w:i w:val="0"/>
                <w:color w:val="000000"/>
                <w:sz w:val="22"/>
                <w:szCs w:val="22"/>
                <w:u w:val="none"/>
              </w:rPr>
            </w:pPr>
          </w:p>
        </w:tc>
        <w:tc>
          <w:tcPr>
            <w:tcW w:w="710"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b/>
                <w:i w:val="0"/>
                <w:color w:val="000000"/>
                <w:sz w:val="22"/>
                <w:szCs w:val="22"/>
                <w:u w:val="none"/>
              </w:rPr>
            </w:pPr>
          </w:p>
        </w:tc>
        <w:tc>
          <w:tcPr>
            <w:tcW w:w="11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b/>
                <w:i w:val="0"/>
                <w:color w:val="000000"/>
                <w:sz w:val="22"/>
                <w:szCs w:val="22"/>
                <w:u w:val="none"/>
              </w:rPr>
            </w:pPr>
          </w:p>
        </w:tc>
      </w:tr>
      <w:tr>
        <w:tblPrEx>
          <w:tblCellMar>
            <w:top w:w="0" w:type="dxa"/>
            <w:left w:w="0" w:type="dxa"/>
            <w:bottom w:w="0" w:type="dxa"/>
            <w:right w:w="0" w:type="dxa"/>
          </w:tblCellMar>
        </w:tblPrEx>
        <w:trPr>
          <w:trHeight w:val="308" w:hRule="atLeast"/>
        </w:trPr>
        <w:tc>
          <w:tcPr>
            <w:tcW w:w="1789"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65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710"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710"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1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1789"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65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710"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710"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1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1789"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65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710"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710"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1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1789"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65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710"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710"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1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1789"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65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710"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710"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1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1789" w:type="pct"/>
            <w:gridSpan w:val="3"/>
            <w:tcBorders>
              <w:top w:val="nil"/>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651"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710"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710"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c>
          <w:tcPr>
            <w:tcW w:w="1137" w:type="pct"/>
            <w:tcBorders>
              <w:top w:val="nil"/>
              <w:left w:val="nil"/>
              <w:bottom w:val="single" w:color="000000" w:sz="4" w:space="0"/>
              <w:right w:val="single" w:color="000000" w:sz="4" w:space="0"/>
            </w:tcBorders>
            <w:shd w:val="clear" w:color="auto" w:fill="auto"/>
            <w:noWrap/>
            <w:tcMar>
              <w:top w:w="12" w:type="dxa"/>
              <w:left w:w="12" w:type="dxa"/>
              <w:right w:w="12" w:type="dxa"/>
            </w:tcMar>
            <w:vAlign w:val="center"/>
          </w:tcPr>
          <w:p>
            <w:pPr>
              <w:jc w:val="righ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5000" w:type="pct"/>
            <w:gridSpan w:val="7"/>
            <w:tcBorders>
              <w:top w:val="nil"/>
              <w:left w:val="nil"/>
              <w:bottom w:val="nil"/>
              <w:right w:val="nil"/>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注：本表反映部门本年度国有资本经营预算财政拨款支出情况。</w:t>
            </w:r>
          </w:p>
        </w:tc>
      </w:tr>
    </w:tbl>
    <w:p>
      <w:pPr>
        <w:rPr>
          <w:sz w:val="21"/>
        </w:rPr>
        <w:sectPr>
          <w:footerReference r:id="rId6" w:type="default"/>
          <w:pgSz w:w="16840" w:h="11910" w:orient="landscape"/>
          <w:pgMar w:top="1100" w:right="800" w:bottom="1160" w:left="800" w:header="0" w:footer="975" w:gutter="0"/>
          <w:pgBorders>
            <w:top w:val="none" w:sz="0" w:space="0"/>
            <w:left w:val="none" w:sz="0" w:space="0"/>
            <w:bottom w:val="none" w:sz="0" w:space="0"/>
            <w:right w:val="none" w:sz="0" w:space="0"/>
          </w:pgBorders>
          <w:cols w:space="720" w:num="1"/>
        </w:sect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spacing w:before="9"/>
        <w:rPr>
          <w:sz w:val="18"/>
        </w:rPr>
      </w:pPr>
    </w:p>
    <w:p>
      <w:pPr>
        <w:pStyle w:val="3"/>
      </w:pPr>
      <w:r>
        <w:t>第三部分</w:t>
      </w:r>
    </w:p>
    <w:p>
      <w:pPr>
        <w:pStyle w:val="6"/>
        <w:spacing w:before="6"/>
        <w:rPr>
          <w:rFonts w:ascii="黑体"/>
          <w:sz w:val="89"/>
        </w:rPr>
      </w:pPr>
    </w:p>
    <w:p>
      <w:pPr>
        <w:spacing w:before="1"/>
        <w:ind w:right="237"/>
        <w:jc w:val="center"/>
        <w:rPr>
          <w:sz w:val="70"/>
        </w:rPr>
      </w:pPr>
      <w:r>
        <w:rPr>
          <w:rFonts w:hint="eastAsia" w:ascii="Times New Roman"/>
          <w:sz w:val="70"/>
          <w:lang w:eastAsia="zh-CN"/>
        </w:rPr>
        <w:t>2020年</w:t>
      </w:r>
      <w:r>
        <w:rPr>
          <w:sz w:val="70"/>
        </w:rPr>
        <w:t>度部门决算情况说明</w:t>
      </w:r>
    </w:p>
    <w:p>
      <w:pPr>
        <w:jc w:val="center"/>
        <w:rPr>
          <w:sz w:val="70"/>
        </w:rPr>
        <w:sectPr>
          <w:footerReference r:id="rId7" w:type="default"/>
          <w:pgSz w:w="11910" w:h="16840"/>
          <w:pgMar w:top="1580" w:right="1240" w:bottom="1160" w:left="1480" w:header="0" w:footer="975" w:gutter="0"/>
          <w:pgBorders>
            <w:top w:val="none" w:sz="0" w:space="0"/>
            <w:left w:val="none" w:sz="0" w:space="0"/>
            <w:bottom w:val="none" w:sz="0" w:space="0"/>
            <w:right w:val="none" w:sz="0" w:space="0"/>
          </w:pgBorders>
          <w:pgNumType w:start="24"/>
          <w:cols w:space="720" w:num="1"/>
        </w:sectPr>
      </w:pPr>
    </w:p>
    <w:p>
      <w:pPr>
        <w:pStyle w:val="6"/>
        <w:spacing w:before="41"/>
        <w:ind w:left="766"/>
        <w:rPr>
          <w:rFonts w:ascii="黑体" w:eastAsia="黑体"/>
        </w:rPr>
      </w:pPr>
      <w:r>
        <w:rPr>
          <w:rFonts w:hint="eastAsia" w:ascii="黑体" w:eastAsia="黑体"/>
        </w:rPr>
        <w:t>一、收入支出决算总体情况说明</w:t>
      </w:r>
    </w:p>
    <w:p>
      <w:pPr>
        <w:pStyle w:val="6"/>
        <w:spacing w:before="190"/>
        <w:ind w:firstLine="608" w:firstLineChars="200"/>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w w:val="95"/>
          <w:sz w:val="32"/>
          <w:szCs w:val="32"/>
          <w:lang w:eastAsia="zh-CN"/>
        </w:rPr>
        <w:t>2020年</w:t>
      </w:r>
      <w:r>
        <w:rPr>
          <w:rFonts w:hint="eastAsia" w:asciiTheme="minorEastAsia" w:hAnsiTheme="minorEastAsia" w:eastAsiaTheme="minorEastAsia" w:cstheme="minorEastAsia"/>
          <w:w w:val="95"/>
          <w:sz w:val="32"/>
          <w:szCs w:val="32"/>
        </w:rPr>
        <w:t>度收入总计</w:t>
      </w:r>
      <w:r>
        <w:rPr>
          <w:rFonts w:hint="eastAsia" w:asciiTheme="minorEastAsia" w:hAnsiTheme="minorEastAsia" w:eastAsiaTheme="minorEastAsia" w:cstheme="minorEastAsia"/>
          <w:sz w:val="32"/>
          <w:szCs w:val="32"/>
          <w:lang w:val="en-US"/>
        </w:rPr>
        <w:t>17,923</w:t>
      </w:r>
      <w:r>
        <w:rPr>
          <w:rFonts w:hint="eastAsia" w:asciiTheme="minorEastAsia" w:hAnsiTheme="minorEastAsia" w:eastAsiaTheme="minorEastAsia" w:cstheme="minorEastAsia"/>
          <w:w w:val="95"/>
          <w:sz w:val="32"/>
          <w:szCs w:val="32"/>
          <w:lang w:eastAsia="zh-CN"/>
        </w:rPr>
        <w:t>万元</w:t>
      </w:r>
      <w:r>
        <w:rPr>
          <w:rFonts w:hint="eastAsia" w:asciiTheme="minorEastAsia" w:hAnsiTheme="minorEastAsia" w:eastAsiaTheme="minorEastAsia" w:cstheme="minorEastAsia"/>
          <w:w w:val="95"/>
          <w:sz w:val="32"/>
          <w:szCs w:val="32"/>
        </w:rPr>
        <w:t>。与上年相比增加</w:t>
      </w:r>
      <w:r>
        <w:rPr>
          <w:rFonts w:hint="eastAsia" w:asciiTheme="minorEastAsia" w:hAnsiTheme="minorEastAsia" w:eastAsiaTheme="minorEastAsia" w:cstheme="minorEastAsia"/>
          <w:sz w:val="32"/>
          <w:szCs w:val="32"/>
          <w:lang w:val="en-US"/>
        </w:rPr>
        <w:t>11,038</w:t>
      </w:r>
      <w:r>
        <w:rPr>
          <w:rFonts w:hint="eastAsia" w:asciiTheme="minorEastAsia" w:hAnsiTheme="minorEastAsia" w:eastAsiaTheme="minorEastAsia" w:cstheme="minorEastAsia"/>
          <w:w w:val="95"/>
          <w:sz w:val="32"/>
          <w:szCs w:val="32"/>
        </w:rPr>
        <w:t>万元，</w:t>
      </w:r>
      <w:r>
        <w:rPr>
          <w:rFonts w:hint="eastAsia" w:asciiTheme="minorEastAsia" w:hAnsiTheme="minorEastAsia" w:eastAsiaTheme="minorEastAsia" w:cstheme="minorEastAsia"/>
          <w:w w:val="95"/>
          <w:sz w:val="32"/>
          <w:szCs w:val="32"/>
          <w:lang w:eastAsia="zh-CN"/>
        </w:rPr>
        <w:t>增</w:t>
      </w:r>
      <w:r>
        <w:rPr>
          <w:rFonts w:hint="eastAsia" w:asciiTheme="minorEastAsia" w:hAnsiTheme="minorEastAsia" w:eastAsiaTheme="minorEastAsia" w:cstheme="minorEastAsia"/>
          <w:w w:val="95"/>
          <w:sz w:val="32"/>
          <w:szCs w:val="32"/>
        </w:rPr>
        <w:t>长</w:t>
      </w:r>
      <w:r>
        <w:rPr>
          <w:rFonts w:hint="eastAsia" w:asciiTheme="minorEastAsia" w:hAnsiTheme="minorEastAsia" w:eastAsiaTheme="minorEastAsia" w:cstheme="minorEastAsia"/>
          <w:sz w:val="32"/>
          <w:szCs w:val="32"/>
          <w:lang w:val="en-US"/>
        </w:rPr>
        <w:t>160.31%</w:t>
      </w:r>
      <w:r>
        <w:rPr>
          <w:rFonts w:hint="eastAsia" w:asciiTheme="minorEastAsia" w:hAnsiTheme="minorEastAsia" w:eastAsiaTheme="minorEastAsia" w:cstheme="minorEastAsia"/>
          <w:w w:val="95"/>
          <w:sz w:val="32"/>
          <w:szCs w:val="32"/>
        </w:rPr>
        <w:t>。支出总计</w:t>
      </w:r>
      <w:r>
        <w:rPr>
          <w:rFonts w:hint="eastAsia" w:asciiTheme="minorEastAsia" w:hAnsiTheme="minorEastAsia" w:eastAsiaTheme="minorEastAsia" w:cstheme="minorEastAsia"/>
          <w:sz w:val="32"/>
          <w:szCs w:val="32"/>
          <w:lang w:val="en-US"/>
        </w:rPr>
        <w:t>17,923</w:t>
      </w:r>
      <w:r>
        <w:rPr>
          <w:rFonts w:hint="eastAsia" w:asciiTheme="minorEastAsia" w:hAnsiTheme="minorEastAsia" w:eastAsiaTheme="minorEastAsia" w:cstheme="minorEastAsia"/>
          <w:w w:val="95"/>
          <w:sz w:val="32"/>
          <w:szCs w:val="32"/>
          <w:lang w:eastAsia="zh-CN"/>
        </w:rPr>
        <w:t>万元</w:t>
      </w:r>
      <w:r>
        <w:rPr>
          <w:rFonts w:hint="eastAsia" w:asciiTheme="minorEastAsia" w:hAnsiTheme="minorEastAsia" w:eastAsiaTheme="minorEastAsia" w:cstheme="minorEastAsia"/>
          <w:w w:val="95"/>
          <w:sz w:val="32"/>
          <w:szCs w:val="32"/>
        </w:rPr>
        <w:t>。与上年相比，增加</w:t>
      </w:r>
      <w:r>
        <w:rPr>
          <w:rFonts w:hint="eastAsia" w:asciiTheme="minorEastAsia" w:hAnsiTheme="minorEastAsia" w:eastAsiaTheme="minorEastAsia" w:cstheme="minorEastAsia"/>
          <w:sz w:val="32"/>
          <w:szCs w:val="32"/>
          <w:lang w:val="en-US"/>
        </w:rPr>
        <w:t>11,038</w:t>
      </w:r>
      <w:r>
        <w:rPr>
          <w:rFonts w:hint="eastAsia" w:asciiTheme="minorEastAsia" w:hAnsiTheme="minorEastAsia" w:eastAsiaTheme="minorEastAsia" w:cstheme="minorEastAsia"/>
          <w:sz w:val="32"/>
          <w:szCs w:val="32"/>
          <w:lang w:eastAsia="zh-CN"/>
        </w:rPr>
        <w:t>万元</w:t>
      </w:r>
      <w:r>
        <w:rPr>
          <w:rFonts w:hint="eastAsia" w:asciiTheme="minorEastAsia" w:hAnsiTheme="minorEastAsia" w:eastAsiaTheme="minorEastAsia" w:cstheme="minorEastAsia"/>
          <w:sz w:val="32"/>
          <w:szCs w:val="32"/>
        </w:rPr>
        <w:t>，增长</w:t>
      </w:r>
      <w:r>
        <w:rPr>
          <w:rFonts w:hint="eastAsia" w:asciiTheme="minorEastAsia" w:hAnsiTheme="minorEastAsia" w:eastAsiaTheme="minorEastAsia" w:cstheme="minorEastAsia"/>
          <w:sz w:val="32"/>
          <w:szCs w:val="32"/>
          <w:lang w:val="en-US"/>
        </w:rPr>
        <w:t>160.31%</w:t>
      </w:r>
      <w:r>
        <w:rPr>
          <w:rFonts w:hint="eastAsia" w:asciiTheme="minorEastAsia" w:hAnsiTheme="minorEastAsia" w:eastAsiaTheme="minorEastAsia" w:cstheme="minorEastAsia"/>
          <w:sz w:val="32"/>
          <w:szCs w:val="32"/>
        </w:rPr>
        <w:t>。收入支出略有增加主要是因为</w:t>
      </w:r>
      <w:r>
        <w:rPr>
          <w:rFonts w:hint="eastAsia" w:asciiTheme="minorEastAsia" w:hAnsiTheme="minorEastAsia" w:eastAsiaTheme="minorEastAsia" w:cstheme="minorEastAsia"/>
          <w:sz w:val="32"/>
          <w:szCs w:val="32"/>
          <w:lang w:val="en-US"/>
        </w:rPr>
        <w:t>增加教育支出和卫生健康支出</w:t>
      </w:r>
      <w:r>
        <w:rPr>
          <w:rFonts w:hint="eastAsia" w:asciiTheme="minorEastAsia" w:hAnsiTheme="minorEastAsia" w:eastAsiaTheme="minorEastAsia" w:cstheme="minorEastAsia"/>
          <w:sz w:val="32"/>
          <w:szCs w:val="32"/>
          <w:lang w:val="en-US" w:eastAsia="zh-CN"/>
        </w:rPr>
        <w:t>。</w:t>
      </w:r>
    </w:p>
    <w:p>
      <w:pPr>
        <w:pStyle w:val="6"/>
        <w:spacing w:before="3"/>
        <w:ind w:left="747"/>
        <w:rPr>
          <w:rFonts w:ascii="黑体" w:eastAsia="黑体"/>
        </w:rPr>
      </w:pPr>
      <w:r>
        <w:rPr>
          <w:rFonts w:hint="eastAsia" w:ascii="黑体" w:eastAsia="黑体"/>
        </w:rPr>
        <w:t>二、收入决算情况说明</w:t>
      </w:r>
    </w:p>
    <w:p>
      <w:pPr>
        <w:pStyle w:val="6"/>
        <w:spacing w:before="190" w:line="350" w:lineRule="auto"/>
        <w:ind w:left="108" w:right="274" w:firstLine="638"/>
      </w:pPr>
      <w:r>
        <w:rPr>
          <w:rFonts w:hint="eastAsia" w:asciiTheme="minorEastAsia" w:hAnsiTheme="minorEastAsia" w:eastAsiaTheme="minorEastAsia" w:cstheme="minorEastAsia"/>
          <w:sz w:val="32"/>
          <w:szCs w:val="32"/>
        </w:rPr>
        <w:t>本年收入合计</w:t>
      </w:r>
      <w:r>
        <w:rPr>
          <w:rFonts w:hint="eastAsia" w:asciiTheme="minorEastAsia" w:hAnsiTheme="minorEastAsia" w:eastAsiaTheme="minorEastAsia" w:cstheme="minorEastAsia"/>
          <w:sz w:val="32"/>
          <w:szCs w:val="32"/>
          <w:lang w:val="en-US"/>
        </w:rPr>
        <w:t>17,923</w:t>
      </w:r>
      <w:r>
        <w:rPr>
          <w:rFonts w:hint="eastAsia" w:asciiTheme="minorEastAsia" w:hAnsiTheme="minorEastAsia" w:eastAsiaTheme="minorEastAsia" w:cstheme="minorEastAsia"/>
          <w:w w:val="95"/>
          <w:sz w:val="32"/>
          <w:szCs w:val="32"/>
          <w:lang w:eastAsia="zh-CN"/>
        </w:rPr>
        <w:t>万元</w:t>
      </w:r>
      <w:r>
        <w:rPr>
          <w:rFonts w:hint="eastAsia" w:asciiTheme="minorEastAsia" w:hAnsiTheme="minorEastAsia" w:eastAsiaTheme="minorEastAsia" w:cstheme="minorEastAsia"/>
          <w:sz w:val="32"/>
          <w:szCs w:val="32"/>
        </w:rPr>
        <w:t>。其中：</w:t>
      </w:r>
      <w:r>
        <w:rPr>
          <w:rFonts w:hint="eastAsia" w:asciiTheme="minorEastAsia" w:hAnsiTheme="minorEastAsia" w:eastAsiaTheme="minorEastAsia" w:cstheme="minorEastAsia"/>
          <w:sz w:val="32"/>
          <w:szCs w:val="32"/>
          <w:lang w:val="en-US"/>
        </w:rPr>
        <w:t>一般公共预算财政拨款收入年初预算14,832万元，比上年增减11,038万元；政府性基金预算财政拨款收入年初预算3,091万元，</w:t>
      </w:r>
      <w:r>
        <w:rPr>
          <w:rFonts w:hint="eastAsia" w:asciiTheme="minorEastAsia" w:hAnsiTheme="minorEastAsia" w:eastAsiaTheme="minorEastAsia" w:cstheme="minorEastAsia"/>
          <w:sz w:val="32"/>
          <w:szCs w:val="32"/>
          <w:lang w:val="en-US" w:eastAsia="zh-CN"/>
        </w:rPr>
        <w:t>与上年持平。</w:t>
      </w:r>
    </w:p>
    <w:p>
      <w:pPr>
        <w:pStyle w:val="6"/>
        <w:spacing w:before="3"/>
        <w:ind w:left="747"/>
        <w:rPr>
          <w:rFonts w:ascii="黑体" w:eastAsia="黑体"/>
        </w:rPr>
      </w:pPr>
      <w:r>
        <w:rPr>
          <w:rFonts w:hint="eastAsia" w:ascii="黑体" w:eastAsia="黑体"/>
        </w:rPr>
        <w:t>三、支出决算情况说明</w:t>
      </w:r>
    </w:p>
    <w:p>
      <w:pPr>
        <w:spacing w:beforeLines="0" w:afterLines="0" w:line="520" w:lineRule="exact"/>
        <w:ind w:firstLine="640" w:firstLineChars="200"/>
        <w:rPr>
          <w:rFonts w:hint="eastAsia" w:asciiTheme="minorEastAsia" w:hAnsiTheme="minorEastAsia" w:eastAsiaTheme="minorEastAsia" w:cstheme="minorEastAsia"/>
          <w:sz w:val="32"/>
          <w:szCs w:val="32"/>
          <w:lang w:val="zh-CN"/>
        </w:rPr>
      </w:pPr>
      <w:r>
        <w:rPr>
          <w:rFonts w:hint="eastAsia" w:asciiTheme="minorEastAsia" w:hAnsiTheme="minorEastAsia" w:eastAsiaTheme="minorEastAsia" w:cstheme="minorEastAsia"/>
          <w:sz w:val="32"/>
          <w:szCs w:val="32"/>
          <w:lang w:val="en-US"/>
        </w:rPr>
        <w:t>2020年，本部门支出17,923万元，比上年增减11,038万元，增长(下降)160.31%；</w:t>
      </w:r>
      <w:r>
        <w:rPr>
          <w:rFonts w:hint="eastAsia" w:asciiTheme="minorEastAsia" w:hAnsiTheme="minorEastAsia" w:eastAsiaTheme="minorEastAsia" w:cstheme="minorEastAsia"/>
          <w:sz w:val="32"/>
          <w:szCs w:val="32"/>
          <w:lang w:val="zh-CN"/>
        </w:rPr>
        <w:t>变化的主要原因</w:t>
      </w:r>
      <w:r>
        <w:rPr>
          <w:rFonts w:hint="eastAsia" w:asciiTheme="minorEastAsia" w:hAnsiTheme="minorEastAsia" w:eastAsiaTheme="minorEastAsia" w:cstheme="minorEastAsia"/>
          <w:sz w:val="32"/>
          <w:szCs w:val="32"/>
          <w:lang w:val="en-US"/>
        </w:rPr>
        <w:t>：增加教育支出和卫生健康支出。其中：基本支出完成16,856万元，比上年增减10,988万元，增长(下降)187.24%，</w:t>
      </w:r>
      <w:r>
        <w:rPr>
          <w:rFonts w:hint="eastAsia" w:asciiTheme="minorEastAsia" w:hAnsiTheme="minorEastAsia" w:eastAsiaTheme="minorEastAsia" w:cstheme="minorEastAsia"/>
          <w:sz w:val="32"/>
          <w:szCs w:val="32"/>
          <w:lang w:val="zh-CN"/>
        </w:rPr>
        <w:t>变化的主要原因：</w:t>
      </w:r>
      <w:r>
        <w:rPr>
          <w:rFonts w:hint="eastAsia" w:asciiTheme="minorEastAsia" w:hAnsiTheme="minorEastAsia" w:eastAsiaTheme="minorEastAsia" w:cstheme="minorEastAsia"/>
          <w:sz w:val="32"/>
          <w:szCs w:val="32"/>
          <w:lang w:val="en-US"/>
        </w:rPr>
        <w:t>增加教育支出和卫生健康支出</w:t>
      </w:r>
      <w:r>
        <w:rPr>
          <w:rFonts w:hint="eastAsia" w:asciiTheme="minorEastAsia" w:hAnsiTheme="minorEastAsia" w:eastAsiaTheme="minorEastAsia" w:cstheme="minorEastAsia"/>
          <w:sz w:val="32"/>
          <w:szCs w:val="32"/>
          <w:lang w:val="en-US" w:eastAsia="zh-CN"/>
        </w:rPr>
        <w:t>，其中，</w:t>
      </w:r>
      <w:r>
        <w:rPr>
          <w:rFonts w:hint="eastAsia" w:asciiTheme="minorEastAsia" w:hAnsiTheme="minorEastAsia" w:eastAsiaTheme="minorEastAsia" w:cstheme="minorEastAsia"/>
          <w:sz w:val="32"/>
          <w:szCs w:val="32"/>
          <w:lang w:val="zh-CN"/>
        </w:rPr>
        <w:t>人员经费</w:t>
      </w:r>
      <w:r>
        <w:rPr>
          <w:rFonts w:hint="eastAsia" w:asciiTheme="minorEastAsia" w:hAnsiTheme="minorEastAsia" w:eastAsiaTheme="minorEastAsia" w:cstheme="minorEastAsia"/>
          <w:sz w:val="32"/>
          <w:szCs w:val="32"/>
          <w:lang w:val="en-US"/>
        </w:rPr>
        <w:t>完成4,889万元，比上年增减-320万元，增长(下降)-6.14%，</w:t>
      </w:r>
      <w:r>
        <w:rPr>
          <w:rFonts w:hint="eastAsia" w:asciiTheme="minorEastAsia" w:hAnsiTheme="minorEastAsia" w:eastAsiaTheme="minorEastAsia" w:cstheme="minorEastAsia"/>
          <w:sz w:val="32"/>
          <w:szCs w:val="32"/>
          <w:lang w:val="zh-CN"/>
        </w:rPr>
        <w:t>变化的主要原因：压缩开支</w:t>
      </w:r>
      <w:r>
        <w:rPr>
          <w:rFonts w:hint="eastAsia" w:asciiTheme="minorEastAsia" w:hAnsiTheme="minorEastAsia" w:eastAsiaTheme="minorEastAsia" w:cstheme="minorEastAsia"/>
          <w:sz w:val="32"/>
          <w:szCs w:val="32"/>
          <w:lang w:val="en-US"/>
        </w:rPr>
        <w:t>；公用</w:t>
      </w:r>
      <w:r>
        <w:rPr>
          <w:rFonts w:hint="eastAsia" w:asciiTheme="minorEastAsia" w:hAnsiTheme="minorEastAsia" w:eastAsiaTheme="minorEastAsia" w:cstheme="minorEastAsia"/>
          <w:sz w:val="32"/>
          <w:szCs w:val="32"/>
          <w:lang w:val="zh-CN"/>
        </w:rPr>
        <w:t>经费</w:t>
      </w:r>
      <w:r>
        <w:rPr>
          <w:rFonts w:hint="eastAsia" w:asciiTheme="minorEastAsia" w:hAnsiTheme="minorEastAsia" w:eastAsiaTheme="minorEastAsia" w:cstheme="minorEastAsia"/>
          <w:sz w:val="32"/>
          <w:szCs w:val="32"/>
          <w:lang w:val="en-US"/>
        </w:rPr>
        <w:t>完成11,967万元，比上年增减11,307万元，增长(下降)1,713.24%，</w:t>
      </w:r>
      <w:r>
        <w:rPr>
          <w:rFonts w:hint="eastAsia" w:asciiTheme="minorEastAsia" w:hAnsiTheme="minorEastAsia" w:eastAsiaTheme="minorEastAsia" w:cstheme="minorEastAsia"/>
          <w:sz w:val="32"/>
          <w:szCs w:val="32"/>
          <w:lang w:val="zh-CN"/>
        </w:rPr>
        <w:t>变化的主要原因：</w:t>
      </w:r>
      <w:r>
        <w:rPr>
          <w:rFonts w:hint="eastAsia" w:asciiTheme="minorEastAsia" w:hAnsiTheme="minorEastAsia" w:eastAsiaTheme="minorEastAsia" w:cstheme="minorEastAsia"/>
          <w:sz w:val="32"/>
          <w:szCs w:val="32"/>
          <w:lang w:val="en-US"/>
        </w:rPr>
        <w:t>增加教育支出和卫生健康支出。项目支出1,067万元，比上年增减50万元，增长(下降)4.92%；</w:t>
      </w:r>
      <w:r>
        <w:rPr>
          <w:rFonts w:hint="eastAsia" w:asciiTheme="minorEastAsia" w:hAnsiTheme="minorEastAsia" w:eastAsiaTheme="minorEastAsia" w:cstheme="minorEastAsia"/>
          <w:sz w:val="32"/>
          <w:szCs w:val="32"/>
          <w:lang w:val="zh-CN"/>
        </w:rPr>
        <w:t>变化的主要原因：村级运转经费增加</w:t>
      </w:r>
      <w:r>
        <w:rPr>
          <w:rFonts w:hint="eastAsia" w:asciiTheme="minorEastAsia" w:hAnsiTheme="minorEastAsia" w:eastAsiaTheme="minorEastAsia" w:cstheme="minorEastAsia"/>
          <w:sz w:val="32"/>
          <w:szCs w:val="32"/>
          <w:lang w:val="en-US"/>
        </w:rPr>
        <w:t>。</w:t>
      </w:r>
    </w:p>
    <w:p>
      <w:pPr>
        <w:pStyle w:val="6"/>
        <w:spacing w:before="2"/>
        <w:ind w:left="747"/>
        <w:rPr>
          <w:rFonts w:ascii="黑体" w:eastAsia="黑体"/>
        </w:rPr>
      </w:pPr>
      <w:r>
        <w:rPr>
          <w:rFonts w:hint="eastAsia" w:ascii="黑体" w:eastAsia="黑体"/>
        </w:rPr>
        <w:t>四、财政拨款收入支出决算总体情况说明</w:t>
      </w:r>
    </w:p>
    <w:p>
      <w:pPr>
        <w:pStyle w:val="6"/>
        <w:spacing w:before="190" w:line="350" w:lineRule="auto"/>
        <w:ind w:left="108" w:right="197" w:firstLine="638"/>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w w:val="95"/>
          <w:sz w:val="32"/>
          <w:szCs w:val="32"/>
          <w:lang w:eastAsia="zh-CN"/>
        </w:rPr>
        <w:t>2020年</w:t>
      </w:r>
      <w:r>
        <w:rPr>
          <w:rFonts w:hint="eastAsia" w:asciiTheme="minorEastAsia" w:hAnsiTheme="minorEastAsia" w:eastAsiaTheme="minorEastAsia" w:cstheme="minorEastAsia"/>
          <w:w w:val="95"/>
          <w:sz w:val="32"/>
          <w:szCs w:val="32"/>
        </w:rPr>
        <w:t>度财政拨款收入总计</w:t>
      </w:r>
      <w:r>
        <w:rPr>
          <w:rFonts w:hint="eastAsia" w:asciiTheme="minorEastAsia" w:hAnsiTheme="minorEastAsia" w:eastAsiaTheme="minorEastAsia" w:cstheme="minorEastAsia"/>
          <w:w w:val="95"/>
          <w:sz w:val="32"/>
          <w:szCs w:val="32"/>
          <w:lang w:eastAsia="zh-CN"/>
        </w:rPr>
        <w:t>17,923万元</w:t>
      </w:r>
      <w:r>
        <w:rPr>
          <w:rFonts w:hint="eastAsia" w:asciiTheme="minorEastAsia" w:hAnsiTheme="minorEastAsia" w:eastAsiaTheme="minorEastAsia" w:cstheme="minorEastAsia"/>
          <w:w w:val="95"/>
          <w:sz w:val="32"/>
          <w:szCs w:val="32"/>
        </w:rPr>
        <w:t>，与</w:t>
      </w:r>
      <w:r>
        <w:rPr>
          <w:rFonts w:hint="eastAsia" w:asciiTheme="minorEastAsia" w:hAnsiTheme="minorEastAsia" w:eastAsiaTheme="minorEastAsia" w:cstheme="minorEastAsia"/>
          <w:w w:val="95"/>
          <w:sz w:val="32"/>
          <w:szCs w:val="32"/>
          <w:lang w:eastAsia="zh-CN"/>
        </w:rPr>
        <w:t>2019年</w:t>
      </w:r>
      <w:r>
        <w:rPr>
          <w:rFonts w:hint="eastAsia" w:asciiTheme="minorEastAsia" w:hAnsiTheme="minorEastAsia" w:eastAsiaTheme="minorEastAsia" w:cstheme="minorEastAsia"/>
          <w:w w:val="95"/>
          <w:sz w:val="32"/>
          <w:szCs w:val="32"/>
        </w:rPr>
        <w:t>相比</w:t>
      </w:r>
      <w:r>
        <w:rPr>
          <w:rFonts w:hint="eastAsia" w:asciiTheme="minorEastAsia" w:hAnsiTheme="minorEastAsia" w:eastAsiaTheme="minorEastAsia" w:cstheme="minorEastAsia"/>
          <w:w w:val="95"/>
          <w:sz w:val="32"/>
          <w:szCs w:val="32"/>
          <w:lang w:eastAsia="zh-CN"/>
        </w:rPr>
        <w:t>，</w:t>
      </w:r>
      <w:r>
        <w:rPr>
          <w:rFonts w:hint="eastAsia" w:asciiTheme="minorEastAsia" w:hAnsiTheme="minorEastAsia" w:eastAsiaTheme="minorEastAsia" w:cstheme="minorEastAsia"/>
          <w:spacing w:val="41"/>
          <w:sz w:val="32"/>
          <w:szCs w:val="32"/>
        </w:rPr>
        <w:t>增加</w:t>
      </w:r>
      <w:r>
        <w:rPr>
          <w:rFonts w:hint="eastAsia" w:asciiTheme="minorEastAsia" w:hAnsiTheme="minorEastAsia" w:eastAsiaTheme="minorEastAsia" w:cstheme="minorEastAsia"/>
          <w:sz w:val="32"/>
          <w:szCs w:val="32"/>
          <w:lang w:val="en-US"/>
        </w:rPr>
        <w:t>11,038</w:t>
      </w:r>
      <w:r>
        <w:rPr>
          <w:rFonts w:hint="eastAsia" w:asciiTheme="minorEastAsia" w:hAnsiTheme="minorEastAsia" w:eastAsiaTheme="minorEastAsia" w:cstheme="minorEastAsia"/>
          <w:sz w:val="32"/>
          <w:szCs w:val="32"/>
          <w:lang w:eastAsia="zh-CN"/>
        </w:rPr>
        <w:t>万元</w:t>
      </w:r>
      <w:r>
        <w:rPr>
          <w:rFonts w:hint="eastAsia" w:asciiTheme="minorEastAsia" w:hAnsiTheme="minorEastAsia" w:eastAsiaTheme="minorEastAsia" w:cstheme="minorEastAsia"/>
          <w:spacing w:val="-19"/>
          <w:sz w:val="32"/>
          <w:szCs w:val="32"/>
        </w:rPr>
        <w:t xml:space="preserve">, </w:t>
      </w:r>
      <w:r>
        <w:rPr>
          <w:rFonts w:hint="eastAsia" w:asciiTheme="minorEastAsia" w:hAnsiTheme="minorEastAsia" w:eastAsiaTheme="minorEastAsia" w:cstheme="minorEastAsia"/>
          <w:spacing w:val="41"/>
          <w:sz w:val="32"/>
          <w:szCs w:val="32"/>
        </w:rPr>
        <w:t>增长</w:t>
      </w:r>
      <w:r>
        <w:rPr>
          <w:rFonts w:hint="eastAsia" w:asciiTheme="minorEastAsia" w:hAnsiTheme="minorEastAsia" w:eastAsiaTheme="minorEastAsia" w:cstheme="minorEastAsia"/>
          <w:sz w:val="32"/>
          <w:szCs w:val="32"/>
          <w:lang w:val="en-US"/>
        </w:rPr>
        <w:t>160.31</w:t>
      </w:r>
      <w:r>
        <w:rPr>
          <w:rFonts w:hint="eastAsia" w:asciiTheme="minorEastAsia" w:hAnsiTheme="minorEastAsia" w:eastAsiaTheme="minorEastAsia" w:cstheme="minorEastAsia"/>
          <w:w w:val="95"/>
          <w:sz w:val="32"/>
          <w:szCs w:val="32"/>
          <w:lang w:eastAsia="zh-CN"/>
        </w:rPr>
        <w:t>%</w:t>
      </w:r>
      <w:r>
        <w:rPr>
          <w:rFonts w:hint="eastAsia" w:asciiTheme="minorEastAsia" w:hAnsiTheme="minorEastAsia" w:eastAsiaTheme="minorEastAsia" w:cstheme="minorEastAsia"/>
          <w:spacing w:val="-20"/>
          <w:sz w:val="32"/>
          <w:szCs w:val="32"/>
        </w:rPr>
        <w:t xml:space="preserve"> </w:t>
      </w:r>
      <w:r>
        <w:rPr>
          <w:rFonts w:hint="eastAsia" w:asciiTheme="minorEastAsia" w:hAnsiTheme="minorEastAsia" w:eastAsiaTheme="minorEastAsia" w:cstheme="minorEastAsia"/>
          <w:spacing w:val="-20"/>
          <w:sz w:val="32"/>
          <w:szCs w:val="32"/>
          <w:lang w:eastAsia="zh-CN"/>
        </w:rPr>
        <w:t>。</w:t>
      </w:r>
      <w:r>
        <w:rPr>
          <w:rFonts w:hint="eastAsia" w:asciiTheme="minorEastAsia" w:hAnsiTheme="minorEastAsia" w:eastAsiaTheme="minorEastAsia" w:cstheme="minorEastAsia"/>
          <w:sz w:val="32"/>
          <w:szCs w:val="32"/>
          <w:lang w:eastAsia="zh-CN"/>
        </w:rPr>
        <w:t>2020年</w:t>
      </w:r>
      <w:r>
        <w:rPr>
          <w:rFonts w:hint="eastAsia" w:asciiTheme="minorEastAsia" w:hAnsiTheme="minorEastAsia" w:eastAsiaTheme="minorEastAsia" w:cstheme="minorEastAsia"/>
          <w:spacing w:val="36"/>
          <w:sz w:val="32"/>
          <w:szCs w:val="32"/>
        </w:rPr>
        <w:t>度财政拨款支出总</w:t>
      </w:r>
      <w:r>
        <w:rPr>
          <w:rFonts w:hint="eastAsia" w:asciiTheme="minorEastAsia" w:hAnsiTheme="minorEastAsia" w:eastAsiaTheme="minorEastAsia" w:cstheme="minorEastAsia"/>
          <w:sz w:val="32"/>
          <w:szCs w:val="32"/>
          <w:lang w:eastAsia="zh-CN"/>
        </w:rPr>
        <w:t>17,923万元</w:t>
      </w:r>
      <w:r>
        <w:rPr>
          <w:rFonts w:hint="eastAsia" w:asciiTheme="minorEastAsia" w:hAnsiTheme="minorEastAsia" w:eastAsiaTheme="minorEastAsia" w:cstheme="minorEastAsia"/>
          <w:sz w:val="32"/>
          <w:szCs w:val="32"/>
        </w:rPr>
        <w:t>，与</w:t>
      </w:r>
      <w:r>
        <w:rPr>
          <w:rFonts w:hint="eastAsia" w:asciiTheme="minorEastAsia" w:hAnsiTheme="minorEastAsia" w:eastAsiaTheme="minorEastAsia" w:cstheme="minorEastAsia"/>
          <w:sz w:val="32"/>
          <w:szCs w:val="32"/>
          <w:lang w:eastAsia="zh-CN"/>
        </w:rPr>
        <w:t>2019年</w:t>
      </w:r>
      <w:r>
        <w:rPr>
          <w:rFonts w:hint="eastAsia" w:asciiTheme="minorEastAsia" w:hAnsiTheme="minorEastAsia" w:eastAsiaTheme="minorEastAsia" w:cstheme="minorEastAsia"/>
          <w:sz w:val="32"/>
          <w:szCs w:val="32"/>
        </w:rPr>
        <w:t>相比，增加</w:t>
      </w:r>
      <w:r>
        <w:rPr>
          <w:rFonts w:hint="eastAsia" w:asciiTheme="minorEastAsia" w:hAnsiTheme="minorEastAsia" w:eastAsiaTheme="minorEastAsia" w:cstheme="minorEastAsia"/>
          <w:sz w:val="32"/>
          <w:szCs w:val="32"/>
          <w:lang w:eastAsia="zh-CN"/>
        </w:rPr>
        <w:t>11,038万元</w:t>
      </w:r>
      <w:r>
        <w:rPr>
          <w:rFonts w:hint="eastAsia" w:asciiTheme="minorEastAsia" w:hAnsiTheme="minorEastAsia" w:eastAsiaTheme="minorEastAsia" w:cstheme="minorEastAsia"/>
          <w:sz w:val="32"/>
          <w:szCs w:val="32"/>
        </w:rPr>
        <w:t>,增长</w:t>
      </w:r>
      <w:r>
        <w:rPr>
          <w:rFonts w:hint="eastAsia" w:asciiTheme="minorEastAsia" w:hAnsiTheme="minorEastAsia" w:eastAsiaTheme="minorEastAsia" w:cstheme="minorEastAsia"/>
          <w:sz w:val="32"/>
          <w:szCs w:val="32"/>
          <w:lang w:eastAsia="zh-CN"/>
        </w:rPr>
        <w:t>160.31%</w:t>
      </w:r>
      <w:r>
        <w:rPr>
          <w:rFonts w:hint="eastAsia" w:asciiTheme="minorEastAsia" w:hAnsiTheme="minorEastAsia" w:eastAsiaTheme="minorEastAsia" w:cstheme="minorEastAsia"/>
          <w:sz w:val="32"/>
          <w:szCs w:val="32"/>
        </w:rPr>
        <w:t>。财政拨款增长主要由于</w:t>
      </w:r>
      <w:r>
        <w:rPr>
          <w:rFonts w:hint="eastAsia" w:asciiTheme="minorEastAsia" w:hAnsiTheme="minorEastAsia" w:eastAsiaTheme="minorEastAsia" w:cstheme="minorEastAsia"/>
          <w:sz w:val="32"/>
          <w:szCs w:val="32"/>
          <w:lang w:val="en-US"/>
        </w:rPr>
        <w:t>增加教育支出和卫生健康支出</w:t>
      </w:r>
      <w:r>
        <w:rPr>
          <w:rFonts w:hint="eastAsia" w:asciiTheme="minorEastAsia" w:hAnsiTheme="minorEastAsia" w:eastAsiaTheme="minorEastAsia" w:cstheme="minorEastAsia"/>
          <w:sz w:val="32"/>
          <w:szCs w:val="32"/>
        </w:rPr>
        <w:t>。</w:t>
      </w:r>
    </w:p>
    <w:p>
      <w:pPr>
        <w:pStyle w:val="6"/>
        <w:spacing w:before="3"/>
        <w:ind w:left="747"/>
        <w:rPr>
          <w:rFonts w:ascii="黑体" w:eastAsia="黑体"/>
        </w:rPr>
      </w:pPr>
      <w:r>
        <w:rPr>
          <w:rFonts w:hint="eastAsia" w:ascii="黑体" w:eastAsia="黑体"/>
        </w:rPr>
        <w:t>五、一般公共预算财政拨款支出决算情况说明</w:t>
      </w:r>
    </w:p>
    <w:p>
      <w:pPr>
        <w:pStyle w:val="5"/>
        <w:spacing w:before="84"/>
      </w:pPr>
      <w:r>
        <w:t>（一）财政拨款支出决算总体情况</w:t>
      </w:r>
    </w:p>
    <w:p>
      <w:pPr>
        <w:pStyle w:val="6"/>
        <w:spacing w:before="118"/>
        <w:ind w:left="747"/>
        <w:rPr>
          <w:rFonts w:hint="eastAsia" w:asciiTheme="minorEastAsia" w:hAnsiTheme="minorEastAsia" w:eastAsiaTheme="minorEastAsia" w:cstheme="minorEastAsia"/>
        </w:rPr>
      </w:pPr>
      <w:r>
        <w:rPr>
          <w:rFonts w:hint="eastAsia" w:asciiTheme="minorEastAsia" w:hAnsiTheme="minorEastAsia" w:eastAsiaTheme="minorEastAsia" w:cstheme="minorEastAsia"/>
          <w:lang w:eastAsia="zh-CN"/>
        </w:rPr>
        <w:t>2020年</w:t>
      </w:r>
      <w:r>
        <w:rPr>
          <w:rFonts w:hint="eastAsia" w:asciiTheme="minorEastAsia" w:hAnsiTheme="minorEastAsia" w:eastAsiaTheme="minorEastAsia" w:cstheme="minorEastAsia"/>
        </w:rPr>
        <w:t>度财政拨款支出</w:t>
      </w:r>
      <w:r>
        <w:rPr>
          <w:rFonts w:hint="eastAsia" w:asciiTheme="minorEastAsia" w:hAnsiTheme="minorEastAsia" w:eastAsiaTheme="minorEastAsia" w:cstheme="minorEastAsia"/>
          <w:lang w:eastAsia="zh-CN"/>
        </w:rPr>
        <w:t>17,923万元</w:t>
      </w:r>
      <w:r>
        <w:rPr>
          <w:rFonts w:hint="eastAsia" w:asciiTheme="minorEastAsia" w:hAnsiTheme="minorEastAsia" w:eastAsiaTheme="minorEastAsia" w:cstheme="minorEastAsia"/>
        </w:rPr>
        <w:t>，占本年支出合计的</w:t>
      </w:r>
    </w:p>
    <w:p>
      <w:pPr>
        <w:pStyle w:val="6"/>
        <w:spacing w:before="190"/>
        <w:ind w:left="108"/>
        <w:rPr>
          <w:rFonts w:hint="eastAsia" w:asciiTheme="minorEastAsia" w:hAnsiTheme="minorEastAsia" w:eastAsiaTheme="minorEastAsia" w:cstheme="minorEastAsia"/>
        </w:rPr>
      </w:pPr>
      <w:r>
        <w:rPr>
          <w:rFonts w:hint="eastAsia" w:asciiTheme="minorEastAsia" w:hAnsiTheme="minorEastAsia" w:eastAsiaTheme="minorEastAsia" w:cstheme="minorEastAsia"/>
        </w:rPr>
        <w:t>100%，与</w:t>
      </w:r>
      <w:r>
        <w:rPr>
          <w:rFonts w:hint="eastAsia" w:asciiTheme="minorEastAsia" w:hAnsiTheme="minorEastAsia" w:eastAsiaTheme="minorEastAsia" w:cstheme="minorEastAsia"/>
          <w:lang w:eastAsia="zh-CN"/>
        </w:rPr>
        <w:t>2019年</w:t>
      </w:r>
      <w:r>
        <w:rPr>
          <w:rFonts w:hint="eastAsia" w:asciiTheme="minorEastAsia" w:hAnsiTheme="minorEastAsia" w:eastAsiaTheme="minorEastAsia" w:cstheme="minorEastAsia"/>
        </w:rPr>
        <w:t>相比，财政拨款支出增加</w:t>
      </w:r>
      <w:r>
        <w:rPr>
          <w:rFonts w:hint="eastAsia" w:asciiTheme="minorEastAsia" w:hAnsiTheme="minorEastAsia" w:eastAsiaTheme="minorEastAsia" w:cstheme="minorEastAsia"/>
          <w:lang w:eastAsia="zh-CN"/>
        </w:rPr>
        <w:t>11,038万元</w:t>
      </w:r>
      <w:r>
        <w:rPr>
          <w:rFonts w:hint="eastAsia" w:asciiTheme="minorEastAsia" w:hAnsiTheme="minorEastAsia" w:eastAsiaTheme="minorEastAsia" w:cstheme="minorEastAsia"/>
        </w:rPr>
        <w:t>，增长</w:t>
      </w:r>
    </w:p>
    <w:p>
      <w:pPr>
        <w:pStyle w:val="6"/>
        <w:spacing w:before="190"/>
        <w:ind w:left="108"/>
        <w:rPr>
          <w:rFonts w:hint="eastAsia" w:asciiTheme="minorEastAsia" w:hAnsiTheme="minorEastAsia" w:eastAsiaTheme="minorEastAsia" w:cstheme="minorEastAsia"/>
        </w:rPr>
      </w:pPr>
      <w:r>
        <w:rPr>
          <w:rFonts w:hint="eastAsia" w:asciiTheme="minorEastAsia" w:hAnsiTheme="minorEastAsia" w:eastAsiaTheme="minorEastAsia" w:cstheme="minorEastAsia"/>
          <w:lang w:eastAsia="zh-CN"/>
        </w:rPr>
        <w:t>160.31%</w:t>
      </w:r>
      <w:r>
        <w:rPr>
          <w:rFonts w:hint="eastAsia" w:asciiTheme="minorEastAsia" w:hAnsiTheme="minorEastAsia" w:eastAsiaTheme="minorEastAsia" w:cstheme="minorEastAsia"/>
        </w:rPr>
        <w:t>。</w:t>
      </w:r>
    </w:p>
    <w:p>
      <w:pPr>
        <w:pStyle w:val="5"/>
        <w:spacing w:before="84"/>
      </w:pPr>
      <w:r>
        <w:t>（二）财政拨款支出决算结构情况</w:t>
      </w:r>
    </w:p>
    <w:p>
      <w:pPr>
        <w:pStyle w:val="6"/>
        <w:spacing w:before="117"/>
        <w:ind w:firstLine="640" w:firstLineChars="200"/>
        <w:rPr>
          <w:rFonts w:hint="eastAsia" w:asciiTheme="minorEastAsia" w:hAnsiTheme="minorEastAsia" w:eastAsiaTheme="minorEastAsia" w:cstheme="minorEastAsia"/>
          <w:w w:val="95"/>
          <w:lang w:eastAsia="zh-CN"/>
        </w:rPr>
      </w:pPr>
      <w:r>
        <w:rPr>
          <w:rFonts w:hint="eastAsia" w:asciiTheme="minorEastAsia" w:hAnsiTheme="minorEastAsia" w:eastAsiaTheme="minorEastAsia" w:cstheme="minorEastAsia"/>
          <w:lang w:eastAsia="zh-CN"/>
        </w:rPr>
        <w:t>2020年</w:t>
      </w:r>
      <w:r>
        <w:rPr>
          <w:rFonts w:hint="eastAsia" w:asciiTheme="minorEastAsia" w:hAnsiTheme="minorEastAsia" w:eastAsiaTheme="minorEastAsia" w:cstheme="minorEastAsia"/>
        </w:rPr>
        <w:t>度财政拨款支出</w:t>
      </w:r>
      <w:r>
        <w:rPr>
          <w:rFonts w:hint="eastAsia" w:asciiTheme="minorEastAsia" w:hAnsiTheme="minorEastAsia" w:eastAsiaTheme="minorEastAsia" w:cstheme="minorEastAsia"/>
          <w:lang w:eastAsia="zh-CN"/>
        </w:rPr>
        <w:t>17,923万元</w:t>
      </w:r>
      <w:r>
        <w:rPr>
          <w:rFonts w:hint="eastAsia" w:asciiTheme="minorEastAsia" w:hAnsiTheme="minorEastAsia" w:eastAsiaTheme="minorEastAsia" w:cstheme="minorEastAsia"/>
        </w:rPr>
        <w:t>，主要用于以下方面：</w:t>
      </w:r>
      <w:r>
        <w:rPr>
          <w:rFonts w:hint="eastAsia" w:asciiTheme="minorEastAsia" w:hAnsiTheme="minorEastAsia" w:eastAsiaTheme="minorEastAsia" w:cstheme="minorEastAsia"/>
          <w:w w:val="95"/>
          <w:lang w:eastAsia="zh-CN"/>
        </w:rPr>
        <w:t>行政运行1，078万元，占6.01%；教育经费11，663万元，占65.07%；对基层政权建设和社区治理263万元，占1.47%；对机关事业单位基本养老保险基金的补助183万元，占1.02%；对乡镇卫生院350万元，1.95%；财政对职工基本医疗保险基金的补助91万元，占0.51%；对农村环境保护53万元，占0.29%；对其他节能环保项131万元，占0.73%；对其他国有土地使用权出让收入安排的支出3091万元，占17.25%；对森林生态效益补偿59万元，占0.33%；对农村综合改革824万元，占4.60%；住房公积金137万元，占0.77%</w:t>
      </w:r>
    </w:p>
    <w:p>
      <w:pPr>
        <w:pStyle w:val="5"/>
        <w:spacing w:before="84"/>
      </w:pPr>
      <w:r>
        <w:t>（三）财政拨款支出决算具体情况</w:t>
      </w:r>
    </w:p>
    <w:p>
      <w:pPr>
        <w:pStyle w:val="6"/>
        <w:spacing w:before="117" w:line="350" w:lineRule="auto"/>
        <w:ind w:left="108" w:right="344" w:firstLine="638"/>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lang w:eastAsia="zh-CN"/>
        </w:rPr>
        <w:t>2020年</w:t>
      </w:r>
      <w:r>
        <w:rPr>
          <w:rFonts w:hint="eastAsia" w:asciiTheme="minorEastAsia" w:hAnsiTheme="minorEastAsia" w:eastAsiaTheme="minorEastAsia" w:cstheme="minorEastAsia"/>
        </w:rPr>
        <w:t>度财政拨款支出年初预算数为</w:t>
      </w:r>
      <w:r>
        <w:rPr>
          <w:rFonts w:hint="eastAsia" w:asciiTheme="minorEastAsia" w:hAnsiTheme="minorEastAsia" w:eastAsiaTheme="minorEastAsia" w:cstheme="minorEastAsia"/>
          <w:lang w:eastAsia="zh-CN"/>
        </w:rPr>
        <w:t>17,923万元</w:t>
      </w:r>
      <w:r>
        <w:rPr>
          <w:rFonts w:hint="eastAsia" w:asciiTheme="minorEastAsia" w:hAnsiTheme="minorEastAsia" w:eastAsiaTheme="minorEastAsia" w:cstheme="minorEastAsia"/>
          <w:spacing w:val="-26"/>
        </w:rPr>
        <w:t>，支出决</w:t>
      </w:r>
      <w:r>
        <w:rPr>
          <w:rFonts w:hint="eastAsia" w:asciiTheme="minorEastAsia" w:hAnsiTheme="minorEastAsia" w:eastAsiaTheme="minorEastAsia" w:cstheme="minorEastAsia"/>
          <w:spacing w:val="-26"/>
          <w:w w:val="95"/>
        </w:rPr>
        <w:t>算数为</w:t>
      </w:r>
      <w:r>
        <w:rPr>
          <w:rFonts w:hint="eastAsia" w:asciiTheme="minorEastAsia" w:hAnsiTheme="minorEastAsia" w:eastAsiaTheme="minorEastAsia" w:cstheme="minorEastAsia"/>
          <w:lang w:eastAsia="zh-CN"/>
        </w:rPr>
        <w:t>17,923万元</w:t>
      </w:r>
      <w:r>
        <w:rPr>
          <w:rFonts w:hint="eastAsia" w:asciiTheme="minorEastAsia" w:hAnsiTheme="minorEastAsia" w:eastAsiaTheme="minorEastAsia" w:cstheme="minorEastAsia"/>
          <w:spacing w:val="-8"/>
          <w:w w:val="95"/>
        </w:rPr>
        <w:t>，完成年初预算的</w:t>
      </w:r>
      <w:r>
        <w:rPr>
          <w:rFonts w:hint="eastAsia" w:asciiTheme="minorEastAsia" w:hAnsiTheme="minorEastAsia" w:eastAsiaTheme="minorEastAsia" w:cstheme="minorEastAsia"/>
          <w:w w:val="95"/>
          <w:lang w:eastAsia="zh-CN"/>
        </w:rPr>
        <w:t>100</w:t>
      </w:r>
      <w:r>
        <w:rPr>
          <w:rFonts w:hint="eastAsia" w:asciiTheme="minorEastAsia" w:hAnsiTheme="minorEastAsia" w:eastAsiaTheme="minorEastAsia" w:cstheme="minorEastAsia"/>
          <w:w w:val="95"/>
        </w:rPr>
        <w:t>%，与年初预算安排的</w:t>
      </w:r>
      <w:r>
        <w:rPr>
          <w:rFonts w:hint="eastAsia" w:asciiTheme="minorEastAsia" w:hAnsiTheme="minorEastAsia" w:eastAsiaTheme="minorEastAsia" w:cstheme="minorEastAsia"/>
          <w:w w:val="95"/>
          <w:lang w:eastAsia="zh-CN"/>
        </w:rPr>
        <w:t>相等</w:t>
      </w:r>
      <w:r>
        <w:rPr>
          <w:rFonts w:hint="eastAsia" w:asciiTheme="minorEastAsia" w:hAnsiTheme="minorEastAsia" w:eastAsiaTheme="minorEastAsia" w:cstheme="minorEastAsia"/>
          <w:w w:val="95"/>
        </w:rPr>
        <w:t>其</w:t>
      </w:r>
      <w:r>
        <w:rPr>
          <w:rFonts w:hint="eastAsia" w:asciiTheme="minorEastAsia" w:hAnsiTheme="minorEastAsia" w:eastAsiaTheme="minorEastAsia" w:cstheme="minorEastAsia"/>
        </w:rPr>
        <w:t>中：</w:t>
      </w:r>
    </w:p>
    <w:p>
      <w:pPr>
        <w:pStyle w:val="6"/>
        <w:spacing w:before="6" w:line="350" w:lineRule="auto"/>
        <w:ind w:right="278" w:firstLine="64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lang w:eastAsia="zh-CN"/>
        </w:rPr>
        <w:t>1、</w:t>
      </w:r>
      <w:r>
        <w:rPr>
          <w:rFonts w:hint="eastAsia" w:asciiTheme="minorEastAsia" w:hAnsiTheme="minorEastAsia" w:eastAsiaTheme="minorEastAsia" w:cstheme="minorEastAsia"/>
        </w:rPr>
        <w:t>一般公共服务（类）政府办公厅（室）及相关机构</w:t>
      </w:r>
      <w:r>
        <w:rPr>
          <w:rFonts w:hint="eastAsia" w:asciiTheme="minorEastAsia" w:hAnsiTheme="minorEastAsia" w:eastAsiaTheme="minorEastAsia" w:cstheme="minorEastAsia"/>
          <w:lang w:eastAsia="zh-CN"/>
        </w:rPr>
        <w:t>事</w:t>
      </w:r>
      <w:r>
        <w:rPr>
          <w:rFonts w:hint="eastAsia" w:asciiTheme="minorEastAsia" w:hAnsiTheme="minorEastAsia" w:eastAsiaTheme="minorEastAsia" w:cstheme="minorEastAsia"/>
        </w:rPr>
        <w:t>务</w:t>
      </w:r>
      <w:r>
        <w:rPr>
          <w:rFonts w:hint="eastAsia" w:asciiTheme="minorEastAsia" w:hAnsiTheme="minorEastAsia" w:eastAsiaTheme="minorEastAsia" w:cstheme="minorEastAsia"/>
          <w:lang w:eastAsia="zh-CN"/>
        </w:rPr>
        <w:t>（款）行政运行（项）</w:t>
      </w:r>
      <w:r>
        <w:rPr>
          <w:rFonts w:hint="eastAsia" w:asciiTheme="minorEastAsia" w:hAnsiTheme="minorEastAsia" w:eastAsiaTheme="minorEastAsia" w:cstheme="minorEastAsia"/>
        </w:rPr>
        <w:t>。</w:t>
      </w:r>
    </w:p>
    <w:p>
      <w:pPr>
        <w:pStyle w:val="6"/>
        <w:spacing w:before="6" w:line="350" w:lineRule="auto"/>
        <w:ind w:right="278" w:firstLine="640" w:firstLineChars="200"/>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rPr>
        <w:t>年初预算为</w:t>
      </w:r>
      <w:r>
        <w:rPr>
          <w:rFonts w:hint="eastAsia" w:asciiTheme="minorEastAsia" w:hAnsiTheme="minorEastAsia" w:eastAsiaTheme="minorEastAsia" w:cstheme="minorEastAsia"/>
          <w:lang w:val="en-US" w:eastAsia="zh-CN"/>
        </w:rPr>
        <w:t>1078</w:t>
      </w:r>
      <w:r>
        <w:rPr>
          <w:rFonts w:hint="eastAsia" w:asciiTheme="minorEastAsia" w:hAnsiTheme="minorEastAsia" w:eastAsiaTheme="minorEastAsia" w:cstheme="minorEastAsia"/>
        </w:rPr>
        <w:t>万元，支出决算为</w:t>
      </w:r>
      <w:r>
        <w:rPr>
          <w:rFonts w:hint="eastAsia" w:asciiTheme="minorEastAsia" w:hAnsiTheme="minorEastAsia" w:eastAsiaTheme="minorEastAsia" w:cstheme="minorEastAsia"/>
          <w:spacing w:val="10"/>
          <w:lang w:val="en-US" w:eastAsia="zh-CN"/>
        </w:rPr>
        <w:t>1078</w:t>
      </w:r>
      <w:r>
        <w:rPr>
          <w:rFonts w:hint="eastAsia" w:asciiTheme="minorEastAsia" w:hAnsiTheme="minorEastAsia" w:eastAsiaTheme="minorEastAsia" w:cstheme="minorEastAsia"/>
        </w:rPr>
        <w:t>万元，完成年初预算的</w:t>
      </w:r>
      <w:r>
        <w:rPr>
          <w:rFonts w:hint="eastAsia" w:asciiTheme="minorEastAsia" w:hAnsiTheme="minorEastAsia" w:eastAsiaTheme="minorEastAsia" w:cstheme="minorEastAsia"/>
          <w:spacing w:val="-13"/>
          <w:lang w:eastAsia="zh-CN"/>
        </w:rPr>
        <w:t>100</w:t>
      </w:r>
      <w:r>
        <w:rPr>
          <w:rFonts w:hint="eastAsia" w:asciiTheme="minorEastAsia" w:hAnsiTheme="minorEastAsia" w:eastAsiaTheme="minorEastAsia" w:cstheme="minorEastAsia"/>
          <w:spacing w:val="-13"/>
        </w:rPr>
        <w:t>%</w:t>
      </w:r>
      <w:r>
        <w:rPr>
          <w:rFonts w:hint="eastAsia" w:asciiTheme="minorEastAsia" w:hAnsiTheme="minorEastAsia" w:eastAsiaTheme="minorEastAsia" w:cstheme="minorEastAsia"/>
          <w:spacing w:val="-13"/>
          <w:lang w:eastAsia="zh-CN"/>
        </w:rPr>
        <w:t>。</w:t>
      </w:r>
    </w:p>
    <w:p>
      <w:pPr>
        <w:pStyle w:val="6"/>
        <w:spacing w:before="3" w:line="350" w:lineRule="auto"/>
        <w:ind w:right="185" w:firstLine="584"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6"/>
          <w:w w:val="95"/>
          <w:lang w:eastAsia="zh-CN"/>
        </w:rPr>
        <w:t>2、</w:t>
      </w:r>
      <w:r>
        <w:rPr>
          <w:rFonts w:hint="eastAsia" w:asciiTheme="minorEastAsia" w:hAnsiTheme="minorEastAsia" w:eastAsiaTheme="minorEastAsia" w:cstheme="minorEastAsia"/>
          <w:spacing w:val="-6"/>
          <w:w w:val="95"/>
        </w:rPr>
        <w:t>社会保障和就业支出</w:t>
      </w:r>
      <w:r>
        <w:rPr>
          <w:rFonts w:hint="eastAsia" w:asciiTheme="minorEastAsia" w:hAnsiTheme="minorEastAsia" w:eastAsiaTheme="minorEastAsia" w:cstheme="minorEastAsia"/>
          <w:w w:val="95"/>
        </w:rPr>
        <w:t>（类</w:t>
      </w:r>
      <w:r>
        <w:rPr>
          <w:rFonts w:hint="eastAsia" w:asciiTheme="minorEastAsia" w:hAnsiTheme="minorEastAsia" w:eastAsiaTheme="minorEastAsia" w:cstheme="minorEastAsia"/>
          <w:spacing w:val="-17"/>
          <w:w w:val="95"/>
        </w:rPr>
        <w:t>）民政管理事务</w:t>
      </w:r>
      <w:r>
        <w:rPr>
          <w:rFonts w:hint="eastAsia" w:asciiTheme="minorEastAsia" w:hAnsiTheme="minorEastAsia" w:eastAsiaTheme="minorEastAsia" w:cstheme="minorEastAsia"/>
          <w:w w:val="95"/>
        </w:rPr>
        <w:t xml:space="preserve">（款） </w:t>
      </w:r>
      <w:r>
        <w:rPr>
          <w:rFonts w:hint="eastAsia" w:asciiTheme="minorEastAsia" w:hAnsiTheme="minorEastAsia" w:eastAsiaTheme="minorEastAsia" w:cstheme="minorEastAsia"/>
        </w:rPr>
        <w:t>基层政权和社区建设</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项）。</w:t>
      </w:r>
    </w:p>
    <w:p>
      <w:pPr>
        <w:pStyle w:val="6"/>
        <w:spacing w:before="3" w:line="350" w:lineRule="auto"/>
        <w:ind w:right="185" w:firstLine="584"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14"/>
        </w:rPr>
        <w:t>年初预算为</w:t>
      </w:r>
      <w:r>
        <w:rPr>
          <w:rFonts w:hint="eastAsia" w:asciiTheme="minorEastAsia" w:hAnsiTheme="minorEastAsia" w:eastAsiaTheme="minorEastAsia" w:cstheme="minorEastAsia"/>
          <w:spacing w:val="-14"/>
          <w:lang w:eastAsia="zh-CN"/>
        </w:rPr>
        <w:t>263</w:t>
      </w:r>
      <w:r>
        <w:rPr>
          <w:rFonts w:hint="eastAsia" w:asciiTheme="minorEastAsia" w:hAnsiTheme="minorEastAsia" w:eastAsiaTheme="minorEastAsia" w:cstheme="minorEastAsia"/>
          <w:spacing w:val="-17"/>
        </w:rPr>
        <w:t>万元，支出决算为</w:t>
      </w:r>
      <w:r>
        <w:rPr>
          <w:rFonts w:hint="eastAsia" w:asciiTheme="minorEastAsia" w:hAnsiTheme="minorEastAsia" w:eastAsiaTheme="minorEastAsia" w:cstheme="minorEastAsia"/>
          <w:lang w:eastAsia="zh-CN"/>
        </w:rPr>
        <w:t>263</w:t>
      </w:r>
      <w:r>
        <w:rPr>
          <w:rFonts w:hint="eastAsia" w:asciiTheme="minorEastAsia" w:hAnsiTheme="minorEastAsia" w:eastAsiaTheme="minorEastAsia" w:cstheme="minorEastAsia"/>
          <w:spacing w:val="-9"/>
        </w:rPr>
        <w:t>万元，完成年初</w:t>
      </w:r>
      <w:r>
        <w:rPr>
          <w:rFonts w:hint="eastAsia" w:asciiTheme="minorEastAsia" w:hAnsiTheme="minorEastAsia" w:eastAsiaTheme="minorEastAsia" w:cstheme="minorEastAsia"/>
          <w:spacing w:val="-26"/>
        </w:rPr>
        <w:t xml:space="preserve">预算的 </w:t>
      </w:r>
      <w:r>
        <w:rPr>
          <w:rFonts w:hint="eastAsia" w:asciiTheme="minorEastAsia" w:hAnsiTheme="minorEastAsia" w:eastAsiaTheme="minorEastAsia" w:cstheme="minorEastAsia"/>
          <w:lang w:eastAsia="zh-CN"/>
        </w:rPr>
        <w:t>100</w:t>
      </w:r>
      <w:r>
        <w:rPr>
          <w:rFonts w:hint="eastAsia" w:asciiTheme="minorEastAsia" w:hAnsiTheme="minorEastAsia" w:eastAsiaTheme="minorEastAsia" w:cstheme="minorEastAsia"/>
        </w:rPr>
        <w:t>%。</w:t>
      </w:r>
    </w:p>
    <w:p>
      <w:pPr>
        <w:pStyle w:val="6"/>
        <w:spacing w:before="3" w:line="350" w:lineRule="auto"/>
        <w:ind w:right="185" w:firstLine="584"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6"/>
          <w:w w:val="95"/>
          <w:lang w:eastAsia="zh-CN"/>
        </w:rPr>
        <w:t>3、</w:t>
      </w:r>
      <w:r>
        <w:rPr>
          <w:rFonts w:hint="eastAsia" w:asciiTheme="minorEastAsia" w:hAnsiTheme="minorEastAsia" w:eastAsiaTheme="minorEastAsia" w:cstheme="minorEastAsia"/>
          <w:spacing w:val="-6"/>
          <w:w w:val="95"/>
        </w:rPr>
        <w:t>社会保障和就业支出</w:t>
      </w:r>
      <w:r>
        <w:rPr>
          <w:rFonts w:hint="eastAsia" w:asciiTheme="minorEastAsia" w:hAnsiTheme="minorEastAsia" w:eastAsiaTheme="minorEastAsia" w:cstheme="minorEastAsia"/>
          <w:w w:val="95"/>
        </w:rPr>
        <w:t>（类</w:t>
      </w:r>
      <w:r>
        <w:rPr>
          <w:rFonts w:hint="eastAsia" w:asciiTheme="minorEastAsia" w:hAnsiTheme="minorEastAsia" w:eastAsiaTheme="minorEastAsia" w:cstheme="minorEastAsia"/>
          <w:spacing w:val="-17"/>
          <w:w w:val="95"/>
        </w:rPr>
        <w:t>）行政事业单位离退休</w:t>
      </w:r>
      <w:r>
        <w:rPr>
          <w:rFonts w:hint="eastAsia" w:asciiTheme="minorEastAsia" w:hAnsiTheme="minorEastAsia" w:eastAsiaTheme="minorEastAsia" w:cstheme="minorEastAsia"/>
          <w:w w:val="95"/>
        </w:rPr>
        <w:t xml:space="preserve">（款） </w:t>
      </w:r>
      <w:r>
        <w:rPr>
          <w:rFonts w:hint="eastAsia" w:asciiTheme="minorEastAsia" w:hAnsiTheme="minorEastAsia" w:eastAsiaTheme="minorEastAsia" w:cstheme="minorEastAsia"/>
        </w:rPr>
        <w:t xml:space="preserve"> 对机关事业单位基本养老保险基金的补助</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rPr>
        <w:t>项）。</w:t>
      </w:r>
    </w:p>
    <w:p>
      <w:pPr>
        <w:pStyle w:val="6"/>
        <w:spacing w:before="2" w:line="350" w:lineRule="auto"/>
        <w:ind w:right="466" w:firstLine="584" w:firstLineChars="20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14"/>
        </w:rPr>
        <w:t>年初预算为</w:t>
      </w:r>
      <w:r>
        <w:rPr>
          <w:rFonts w:hint="eastAsia" w:asciiTheme="minorEastAsia" w:hAnsiTheme="minorEastAsia" w:eastAsiaTheme="minorEastAsia" w:cstheme="minorEastAsia"/>
          <w:spacing w:val="-14"/>
          <w:lang w:val="en-US" w:eastAsia="zh-CN"/>
        </w:rPr>
        <w:t>183</w:t>
      </w:r>
      <w:r>
        <w:rPr>
          <w:rFonts w:hint="eastAsia" w:asciiTheme="minorEastAsia" w:hAnsiTheme="minorEastAsia" w:eastAsiaTheme="minorEastAsia" w:cstheme="minorEastAsia"/>
          <w:spacing w:val="-17"/>
        </w:rPr>
        <w:t>万元，支出决算为</w:t>
      </w:r>
      <w:r>
        <w:rPr>
          <w:rFonts w:hint="eastAsia" w:asciiTheme="minorEastAsia" w:hAnsiTheme="minorEastAsia" w:eastAsiaTheme="minorEastAsia" w:cstheme="minorEastAsia"/>
          <w:spacing w:val="-14"/>
          <w:lang w:val="en-US" w:eastAsia="zh-CN"/>
        </w:rPr>
        <w:t>183</w:t>
      </w:r>
      <w:r>
        <w:rPr>
          <w:rFonts w:hint="eastAsia" w:asciiTheme="minorEastAsia" w:hAnsiTheme="minorEastAsia" w:eastAsiaTheme="minorEastAsia" w:cstheme="minorEastAsia"/>
          <w:spacing w:val="-9"/>
        </w:rPr>
        <w:t>万元，完成年初</w:t>
      </w:r>
      <w:r>
        <w:rPr>
          <w:rFonts w:hint="eastAsia" w:asciiTheme="minorEastAsia" w:hAnsiTheme="minorEastAsia" w:eastAsiaTheme="minorEastAsia" w:cstheme="minorEastAsia"/>
          <w:spacing w:val="-26"/>
        </w:rPr>
        <w:t xml:space="preserve">预算的 </w:t>
      </w:r>
      <w:r>
        <w:rPr>
          <w:rFonts w:hint="eastAsia" w:asciiTheme="minorEastAsia" w:hAnsiTheme="minorEastAsia" w:eastAsiaTheme="minorEastAsia" w:cstheme="minorEastAsia"/>
          <w:lang w:eastAsia="zh-CN"/>
        </w:rPr>
        <w:t>100</w:t>
      </w:r>
      <w:r>
        <w:rPr>
          <w:rFonts w:hint="eastAsia" w:asciiTheme="minorEastAsia" w:hAnsiTheme="minorEastAsia" w:eastAsiaTheme="minorEastAsia" w:cstheme="minorEastAsia"/>
        </w:rPr>
        <w:t>%。</w:t>
      </w:r>
    </w:p>
    <w:p>
      <w:pPr>
        <w:pStyle w:val="6"/>
        <w:spacing w:before="7" w:line="350" w:lineRule="auto"/>
        <w:ind w:right="346" w:firstLine="62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3"/>
          <w:w w:val="95"/>
          <w:lang w:eastAsia="zh-CN"/>
        </w:rPr>
        <w:t>4、</w:t>
      </w:r>
      <w:r>
        <w:rPr>
          <w:rFonts w:hint="eastAsia" w:asciiTheme="minorEastAsia" w:hAnsiTheme="minorEastAsia" w:eastAsiaTheme="minorEastAsia" w:cstheme="minorEastAsia"/>
          <w:spacing w:val="3"/>
          <w:w w:val="95"/>
        </w:rPr>
        <w:t>卫生健康支出</w:t>
      </w:r>
      <w:r>
        <w:rPr>
          <w:rFonts w:hint="eastAsia" w:asciiTheme="minorEastAsia" w:hAnsiTheme="minorEastAsia" w:eastAsiaTheme="minorEastAsia" w:cstheme="minorEastAsia"/>
          <w:spacing w:val="5"/>
          <w:w w:val="95"/>
        </w:rPr>
        <w:t>（类）</w:t>
      </w:r>
      <w:r>
        <w:rPr>
          <w:rFonts w:hint="eastAsia" w:asciiTheme="minorEastAsia" w:hAnsiTheme="minorEastAsia" w:eastAsiaTheme="minorEastAsia" w:cstheme="minorEastAsia"/>
          <w:spacing w:val="3"/>
          <w:w w:val="95"/>
        </w:rPr>
        <w:t>财政对基本医疗保险基金的补助</w:t>
      </w:r>
      <w:r>
        <w:rPr>
          <w:rFonts w:hint="eastAsia" w:asciiTheme="minorEastAsia" w:hAnsiTheme="minorEastAsia" w:eastAsiaTheme="minorEastAsia" w:cstheme="minorEastAsia"/>
          <w:spacing w:val="5"/>
          <w:w w:val="95"/>
        </w:rPr>
        <w:t>（款）</w:t>
      </w:r>
      <w:r>
        <w:rPr>
          <w:rFonts w:hint="eastAsia" w:asciiTheme="minorEastAsia" w:hAnsiTheme="minorEastAsia" w:eastAsiaTheme="minorEastAsia" w:cstheme="minorEastAsia"/>
          <w:spacing w:val="2"/>
          <w:w w:val="95"/>
        </w:rPr>
        <w:t>财政对职工基本医疗保险基金的补助</w:t>
      </w:r>
      <w:r>
        <w:rPr>
          <w:rFonts w:hint="eastAsia" w:asciiTheme="minorEastAsia" w:hAnsiTheme="minorEastAsia" w:eastAsiaTheme="minorEastAsia" w:cstheme="minorEastAsia"/>
          <w:spacing w:val="2"/>
        </w:rPr>
        <w:t>（项）。</w:t>
      </w:r>
    </w:p>
    <w:p>
      <w:pPr>
        <w:pStyle w:val="6"/>
        <w:spacing w:before="2" w:line="350" w:lineRule="auto"/>
        <w:ind w:right="466" w:firstLine="584" w:firstLineChars="20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14"/>
        </w:rPr>
        <w:t xml:space="preserve">年初预算为 </w:t>
      </w:r>
      <w:r>
        <w:rPr>
          <w:rFonts w:hint="eastAsia" w:asciiTheme="minorEastAsia" w:hAnsiTheme="minorEastAsia" w:eastAsiaTheme="minorEastAsia" w:cstheme="minorEastAsia"/>
          <w:lang w:val="en-US" w:eastAsia="zh-CN"/>
        </w:rPr>
        <w:t>91</w:t>
      </w:r>
      <w:r>
        <w:rPr>
          <w:rFonts w:hint="eastAsia" w:asciiTheme="minorEastAsia" w:hAnsiTheme="minorEastAsia" w:eastAsiaTheme="minorEastAsia" w:cstheme="minorEastAsia"/>
          <w:spacing w:val="-17"/>
        </w:rPr>
        <w:t xml:space="preserve">万元，支出决算为 </w:t>
      </w:r>
      <w:r>
        <w:rPr>
          <w:rFonts w:hint="eastAsia" w:asciiTheme="minorEastAsia" w:hAnsiTheme="minorEastAsia" w:eastAsiaTheme="minorEastAsia" w:cstheme="minorEastAsia"/>
          <w:lang w:val="en-US" w:eastAsia="zh-CN"/>
        </w:rPr>
        <w:t>91</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spacing w:val="-9"/>
        </w:rPr>
        <w:t>万元，完成年初</w:t>
      </w:r>
      <w:r>
        <w:rPr>
          <w:rFonts w:hint="eastAsia" w:asciiTheme="minorEastAsia" w:hAnsiTheme="minorEastAsia" w:eastAsiaTheme="minorEastAsia" w:cstheme="minorEastAsia"/>
          <w:spacing w:val="-26"/>
        </w:rPr>
        <w:t xml:space="preserve">预算的 </w:t>
      </w:r>
      <w:r>
        <w:rPr>
          <w:rFonts w:hint="eastAsia" w:asciiTheme="minorEastAsia" w:hAnsiTheme="minorEastAsia" w:eastAsiaTheme="minorEastAsia" w:cstheme="minorEastAsia"/>
          <w:lang w:eastAsia="zh-CN"/>
        </w:rPr>
        <w:t>100</w:t>
      </w:r>
      <w:r>
        <w:rPr>
          <w:rFonts w:hint="eastAsia" w:asciiTheme="minorEastAsia" w:hAnsiTheme="minorEastAsia" w:eastAsiaTheme="minorEastAsia" w:cstheme="minorEastAsia"/>
        </w:rPr>
        <w:t>%。</w:t>
      </w:r>
    </w:p>
    <w:p>
      <w:pPr>
        <w:pStyle w:val="6"/>
        <w:spacing w:before="7" w:line="350" w:lineRule="auto"/>
        <w:ind w:right="346" w:firstLine="62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3"/>
          <w:w w:val="95"/>
          <w:lang w:val="en-US" w:eastAsia="zh-CN"/>
        </w:rPr>
        <w:t>5、</w:t>
      </w:r>
      <w:r>
        <w:rPr>
          <w:rFonts w:hint="eastAsia" w:asciiTheme="minorEastAsia" w:hAnsiTheme="minorEastAsia" w:eastAsiaTheme="minorEastAsia" w:cstheme="minorEastAsia"/>
          <w:spacing w:val="3"/>
          <w:w w:val="95"/>
        </w:rPr>
        <w:t>卫生健康支出</w:t>
      </w:r>
      <w:r>
        <w:rPr>
          <w:rFonts w:hint="eastAsia" w:asciiTheme="minorEastAsia" w:hAnsiTheme="minorEastAsia" w:eastAsiaTheme="minorEastAsia" w:cstheme="minorEastAsia"/>
          <w:spacing w:val="5"/>
          <w:w w:val="95"/>
        </w:rPr>
        <w:t>（类）</w:t>
      </w:r>
      <w:r>
        <w:rPr>
          <w:rFonts w:hint="eastAsia" w:asciiTheme="minorEastAsia" w:hAnsiTheme="minorEastAsia" w:eastAsiaTheme="minorEastAsia" w:cstheme="minorEastAsia"/>
          <w:spacing w:val="3"/>
          <w:w w:val="95"/>
        </w:rPr>
        <w:t>基层医疗卫生机构</w:t>
      </w:r>
      <w:r>
        <w:rPr>
          <w:rFonts w:hint="eastAsia" w:asciiTheme="minorEastAsia" w:hAnsiTheme="minorEastAsia" w:eastAsiaTheme="minorEastAsia" w:cstheme="minorEastAsia"/>
          <w:spacing w:val="5"/>
          <w:w w:val="95"/>
        </w:rPr>
        <w:t>（款）</w:t>
      </w:r>
      <w:r>
        <w:rPr>
          <w:rFonts w:hint="eastAsia" w:asciiTheme="minorEastAsia" w:hAnsiTheme="minorEastAsia" w:eastAsiaTheme="minorEastAsia" w:cstheme="minorEastAsia"/>
          <w:spacing w:val="2"/>
          <w:w w:val="95"/>
        </w:rPr>
        <w:t xml:space="preserve">  乡镇卫生院</w:t>
      </w:r>
      <w:r>
        <w:rPr>
          <w:rFonts w:hint="eastAsia" w:asciiTheme="minorEastAsia" w:hAnsiTheme="minorEastAsia" w:eastAsiaTheme="minorEastAsia" w:cstheme="minorEastAsia"/>
          <w:spacing w:val="2"/>
        </w:rPr>
        <w:t>（项）。</w:t>
      </w:r>
    </w:p>
    <w:p>
      <w:pPr>
        <w:pStyle w:val="6"/>
        <w:spacing w:before="2" w:line="350" w:lineRule="auto"/>
        <w:ind w:right="466" w:firstLine="584" w:firstLineChars="20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14"/>
        </w:rPr>
        <w:t xml:space="preserve">年初预算为 </w:t>
      </w:r>
      <w:r>
        <w:rPr>
          <w:rFonts w:hint="eastAsia" w:asciiTheme="minorEastAsia" w:hAnsiTheme="minorEastAsia" w:eastAsiaTheme="minorEastAsia" w:cstheme="minorEastAsia"/>
          <w:spacing w:val="-14"/>
          <w:lang w:val="en-US" w:eastAsia="zh-CN"/>
        </w:rPr>
        <w:t>350</w:t>
      </w:r>
      <w:r>
        <w:rPr>
          <w:rFonts w:hint="eastAsia" w:asciiTheme="minorEastAsia" w:hAnsiTheme="minorEastAsia" w:eastAsiaTheme="minorEastAsia" w:cstheme="minorEastAsia"/>
          <w:spacing w:val="-17"/>
        </w:rPr>
        <w:t xml:space="preserve">万元，支出决算为 </w:t>
      </w:r>
      <w:r>
        <w:rPr>
          <w:rFonts w:hint="eastAsia" w:asciiTheme="minorEastAsia" w:hAnsiTheme="minorEastAsia" w:eastAsiaTheme="minorEastAsia" w:cstheme="minorEastAsia"/>
          <w:lang w:val="en-US" w:eastAsia="zh-CN"/>
        </w:rPr>
        <w:t>350</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spacing w:val="-9"/>
        </w:rPr>
        <w:t>万元，完成年初</w:t>
      </w:r>
      <w:r>
        <w:rPr>
          <w:rFonts w:hint="eastAsia" w:asciiTheme="minorEastAsia" w:hAnsiTheme="minorEastAsia" w:eastAsiaTheme="minorEastAsia" w:cstheme="minorEastAsia"/>
          <w:spacing w:val="-26"/>
        </w:rPr>
        <w:t xml:space="preserve">预算的 </w:t>
      </w:r>
      <w:r>
        <w:rPr>
          <w:rFonts w:hint="eastAsia" w:asciiTheme="minorEastAsia" w:hAnsiTheme="minorEastAsia" w:eastAsiaTheme="minorEastAsia" w:cstheme="minorEastAsia"/>
          <w:lang w:eastAsia="zh-CN"/>
        </w:rPr>
        <w:t>100</w:t>
      </w:r>
      <w:r>
        <w:rPr>
          <w:rFonts w:hint="eastAsia" w:asciiTheme="minorEastAsia" w:hAnsiTheme="minorEastAsia" w:eastAsiaTheme="minorEastAsia" w:cstheme="minorEastAsia"/>
        </w:rPr>
        <w:t>%。</w:t>
      </w:r>
    </w:p>
    <w:p>
      <w:pPr>
        <w:pStyle w:val="6"/>
        <w:spacing w:before="7" w:line="350" w:lineRule="auto"/>
        <w:ind w:right="346" w:firstLine="64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6、</w:t>
      </w:r>
      <w:r>
        <w:rPr>
          <w:rFonts w:hint="eastAsia" w:asciiTheme="minorEastAsia" w:hAnsiTheme="minorEastAsia" w:eastAsiaTheme="minorEastAsia" w:cstheme="minorEastAsia"/>
          <w:spacing w:val="3"/>
          <w:w w:val="95"/>
        </w:rPr>
        <w:t>教育支出</w:t>
      </w:r>
      <w:r>
        <w:rPr>
          <w:rFonts w:hint="eastAsia" w:asciiTheme="minorEastAsia" w:hAnsiTheme="minorEastAsia" w:eastAsiaTheme="minorEastAsia" w:cstheme="minorEastAsia"/>
          <w:spacing w:val="5"/>
          <w:w w:val="95"/>
        </w:rPr>
        <w:t>（类）</w:t>
      </w:r>
      <w:r>
        <w:rPr>
          <w:rFonts w:hint="eastAsia" w:asciiTheme="minorEastAsia" w:hAnsiTheme="minorEastAsia" w:eastAsiaTheme="minorEastAsia" w:cstheme="minorEastAsia"/>
          <w:spacing w:val="3"/>
          <w:w w:val="95"/>
        </w:rPr>
        <w:t>普通教育</w:t>
      </w:r>
      <w:r>
        <w:rPr>
          <w:rFonts w:hint="eastAsia" w:asciiTheme="minorEastAsia" w:hAnsiTheme="minorEastAsia" w:eastAsiaTheme="minorEastAsia" w:cstheme="minorEastAsia"/>
          <w:spacing w:val="5"/>
          <w:w w:val="95"/>
        </w:rPr>
        <w:t>（款）</w:t>
      </w:r>
      <w:r>
        <w:rPr>
          <w:rFonts w:hint="eastAsia" w:asciiTheme="minorEastAsia" w:hAnsiTheme="minorEastAsia" w:eastAsiaTheme="minorEastAsia" w:cstheme="minorEastAsia"/>
          <w:spacing w:val="2"/>
          <w:w w:val="95"/>
        </w:rPr>
        <w:t>学前教育</w:t>
      </w:r>
      <w:r>
        <w:rPr>
          <w:rFonts w:hint="eastAsia" w:asciiTheme="minorEastAsia" w:hAnsiTheme="minorEastAsia" w:eastAsiaTheme="minorEastAsia" w:cstheme="minorEastAsia"/>
          <w:spacing w:val="2"/>
        </w:rPr>
        <w:t>（项）。</w:t>
      </w:r>
    </w:p>
    <w:p>
      <w:pPr>
        <w:pStyle w:val="6"/>
        <w:spacing w:before="2" w:line="350" w:lineRule="auto"/>
        <w:ind w:right="466" w:firstLine="584" w:firstLineChars="20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14"/>
        </w:rPr>
        <w:t xml:space="preserve">年初预算为 </w:t>
      </w:r>
      <w:r>
        <w:rPr>
          <w:rFonts w:hint="eastAsia" w:asciiTheme="minorEastAsia" w:hAnsiTheme="minorEastAsia" w:eastAsiaTheme="minorEastAsia" w:cstheme="minorEastAsia"/>
          <w:spacing w:val="-14"/>
          <w:lang w:val="en-US" w:eastAsia="zh-CN"/>
        </w:rPr>
        <w:t>306</w:t>
      </w:r>
      <w:r>
        <w:rPr>
          <w:rFonts w:hint="eastAsia" w:asciiTheme="minorEastAsia" w:hAnsiTheme="minorEastAsia" w:eastAsiaTheme="minorEastAsia" w:cstheme="minorEastAsia"/>
          <w:spacing w:val="-17"/>
        </w:rPr>
        <w:t xml:space="preserve">万元，支出决算为 </w:t>
      </w:r>
      <w:r>
        <w:rPr>
          <w:rFonts w:hint="eastAsia" w:asciiTheme="minorEastAsia" w:hAnsiTheme="minorEastAsia" w:eastAsiaTheme="minorEastAsia" w:cstheme="minorEastAsia"/>
          <w:lang w:val="en-US" w:eastAsia="zh-CN"/>
        </w:rPr>
        <w:t>306</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spacing w:val="-9"/>
        </w:rPr>
        <w:t>万元，完成年初</w:t>
      </w:r>
      <w:r>
        <w:rPr>
          <w:rFonts w:hint="eastAsia" w:asciiTheme="minorEastAsia" w:hAnsiTheme="minorEastAsia" w:eastAsiaTheme="minorEastAsia" w:cstheme="minorEastAsia"/>
          <w:spacing w:val="-26"/>
        </w:rPr>
        <w:t xml:space="preserve">预算的 </w:t>
      </w:r>
      <w:r>
        <w:rPr>
          <w:rFonts w:hint="eastAsia" w:asciiTheme="minorEastAsia" w:hAnsiTheme="minorEastAsia" w:eastAsiaTheme="minorEastAsia" w:cstheme="minorEastAsia"/>
          <w:lang w:eastAsia="zh-CN"/>
        </w:rPr>
        <w:t>100</w:t>
      </w:r>
      <w:r>
        <w:rPr>
          <w:rFonts w:hint="eastAsia" w:asciiTheme="minorEastAsia" w:hAnsiTheme="minorEastAsia" w:eastAsiaTheme="minorEastAsia" w:cstheme="minorEastAsia"/>
        </w:rPr>
        <w:t>%。</w:t>
      </w:r>
    </w:p>
    <w:p>
      <w:pPr>
        <w:pStyle w:val="6"/>
        <w:spacing w:before="7" w:line="350" w:lineRule="auto"/>
        <w:ind w:right="346" w:firstLine="64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7、</w:t>
      </w:r>
      <w:r>
        <w:rPr>
          <w:rFonts w:hint="eastAsia" w:asciiTheme="minorEastAsia" w:hAnsiTheme="minorEastAsia" w:eastAsiaTheme="minorEastAsia" w:cstheme="minorEastAsia"/>
          <w:spacing w:val="3"/>
          <w:w w:val="95"/>
        </w:rPr>
        <w:t>教育支出</w:t>
      </w:r>
      <w:r>
        <w:rPr>
          <w:rFonts w:hint="eastAsia" w:asciiTheme="minorEastAsia" w:hAnsiTheme="minorEastAsia" w:eastAsiaTheme="minorEastAsia" w:cstheme="minorEastAsia"/>
          <w:spacing w:val="5"/>
          <w:w w:val="95"/>
        </w:rPr>
        <w:t>（类）</w:t>
      </w:r>
      <w:r>
        <w:rPr>
          <w:rFonts w:hint="eastAsia" w:asciiTheme="minorEastAsia" w:hAnsiTheme="minorEastAsia" w:eastAsiaTheme="minorEastAsia" w:cstheme="minorEastAsia"/>
          <w:spacing w:val="3"/>
          <w:w w:val="95"/>
        </w:rPr>
        <w:t>普通教育</w:t>
      </w:r>
      <w:r>
        <w:rPr>
          <w:rFonts w:hint="eastAsia" w:asciiTheme="minorEastAsia" w:hAnsiTheme="minorEastAsia" w:eastAsiaTheme="minorEastAsia" w:cstheme="minorEastAsia"/>
          <w:spacing w:val="5"/>
          <w:w w:val="95"/>
        </w:rPr>
        <w:t>（款）</w:t>
      </w:r>
      <w:r>
        <w:rPr>
          <w:rFonts w:hint="eastAsia" w:asciiTheme="minorEastAsia" w:hAnsiTheme="minorEastAsia" w:eastAsiaTheme="minorEastAsia" w:cstheme="minorEastAsia"/>
          <w:spacing w:val="2"/>
          <w:w w:val="95"/>
        </w:rPr>
        <w:t xml:space="preserve"> 小学教育</w:t>
      </w:r>
      <w:r>
        <w:rPr>
          <w:rFonts w:hint="eastAsia" w:asciiTheme="minorEastAsia" w:hAnsiTheme="minorEastAsia" w:eastAsiaTheme="minorEastAsia" w:cstheme="minorEastAsia"/>
          <w:spacing w:val="2"/>
        </w:rPr>
        <w:t>（项）。</w:t>
      </w:r>
    </w:p>
    <w:p>
      <w:pPr>
        <w:pStyle w:val="6"/>
        <w:spacing w:before="2" w:line="350" w:lineRule="auto"/>
        <w:ind w:right="466" w:firstLine="584" w:firstLineChars="20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14"/>
        </w:rPr>
        <w:t>年初预算为</w:t>
      </w:r>
      <w:r>
        <w:rPr>
          <w:rFonts w:hint="eastAsia" w:asciiTheme="minorEastAsia" w:hAnsiTheme="minorEastAsia" w:eastAsiaTheme="minorEastAsia" w:cstheme="minorEastAsia"/>
          <w:spacing w:val="-14"/>
          <w:lang w:val="en-US" w:eastAsia="zh-CN"/>
        </w:rPr>
        <w:t>2769</w:t>
      </w:r>
      <w:r>
        <w:rPr>
          <w:rFonts w:hint="eastAsia" w:asciiTheme="minorEastAsia" w:hAnsiTheme="minorEastAsia" w:eastAsiaTheme="minorEastAsia" w:cstheme="minorEastAsia"/>
          <w:spacing w:val="-17"/>
        </w:rPr>
        <w:t>万元，支出决算为</w:t>
      </w:r>
      <w:r>
        <w:rPr>
          <w:rFonts w:hint="eastAsia" w:asciiTheme="minorEastAsia" w:hAnsiTheme="minorEastAsia" w:eastAsiaTheme="minorEastAsia" w:cstheme="minorEastAsia"/>
          <w:spacing w:val="-17"/>
          <w:lang w:val="en-US" w:eastAsia="zh-CN"/>
        </w:rPr>
        <w:t>2769</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spacing w:val="-9"/>
        </w:rPr>
        <w:t>万元，完成年初</w:t>
      </w:r>
      <w:r>
        <w:rPr>
          <w:rFonts w:hint="eastAsia" w:asciiTheme="minorEastAsia" w:hAnsiTheme="minorEastAsia" w:eastAsiaTheme="minorEastAsia" w:cstheme="minorEastAsia"/>
          <w:spacing w:val="-26"/>
        </w:rPr>
        <w:t xml:space="preserve">预算的 </w:t>
      </w:r>
      <w:r>
        <w:rPr>
          <w:rFonts w:hint="eastAsia" w:asciiTheme="minorEastAsia" w:hAnsiTheme="minorEastAsia" w:eastAsiaTheme="minorEastAsia" w:cstheme="minorEastAsia"/>
          <w:lang w:eastAsia="zh-CN"/>
        </w:rPr>
        <w:t>100</w:t>
      </w:r>
      <w:r>
        <w:rPr>
          <w:rFonts w:hint="eastAsia" w:asciiTheme="minorEastAsia" w:hAnsiTheme="minorEastAsia" w:eastAsiaTheme="minorEastAsia" w:cstheme="minorEastAsia"/>
        </w:rPr>
        <w:t>%。</w:t>
      </w:r>
    </w:p>
    <w:p>
      <w:pPr>
        <w:pStyle w:val="6"/>
        <w:spacing w:before="7" w:line="350" w:lineRule="auto"/>
        <w:ind w:right="346" w:firstLine="64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8、</w:t>
      </w:r>
      <w:r>
        <w:rPr>
          <w:rFonts w:hint="eastAsia" w:asciiTheme="minorEastAsia" w:hAnsiTheme="minorEastAsia" w:eastAsiaTheme="minorEastAsia" w:cstheme="minorEastAsia"/>
          <w:spacing w:val="3"/>
          <w:w w:val="95"/>
        </w:rPr>
        <w:t>教育支出</w:t>
      </w:r>
      <w:r>
        <w:rPr>
          <w:rFonts w:hint="eastAsia" w:asciiTheme="minorEastAsia" w:hAnsiTheme="minorEastAsia" w:eastAsiaTheme="minorEastAsia" w:cstheme="minorEastAsia"/>
          <w:spacing w:val="5"/>
          <w:w w:val="95"/>
        </w:rPr>
        <w:t>（类）</w:t>
      </w:r>
      <w:r>
        <w:rPr>
          <w:rFonts w:hint="eastAsia" w:asciiTheme="minorEastAsia" w:hAnsiTheme="minorEastAsia" w:eastAsiaTheme="minorEastAsia" w:cstheme="minorEastAsia"/>
          <w:spacing w:val="3"/>
          <w:w w:val="95"/>
        </w:rPr>
        <w:t>普通教育</w:t>
      </w:r>
      <w:r>
        <w:rPr>
          <w:rFonts w:hint="eastAsia" w:asciiTheme="minorEastAsia" w:hAnsiTheme="minorEastAsia" w:eastAsiaTheme="minorEastAsia" w:cstheme="minorEastAsia"/>
          <w:spacing w:val="5"/>
          <w:w w:val="95"/>
        </w:rPr>
        <w:t>（款）</w:t>
      </w:r>
      <w:r>
        <w:rPr>
          <w:rFonts w:hint="eastAsia" w:asciiTheme="minorEastAsia" w:hAnsiTheme="minorEastAsia" w:eastAsiaTheme="minorEastAsia" w:cstheme="minorEastAsia"/>
          <w:spacing w:val="5"/>
          <w:w w:val="95"/>
          <w:lang w:eastAsia="zh-CN"/>
        </w:rPr>
        <w:t>初中</w:t>
      </w:r>
      <w:r>
        <w:rPr>
          <w:rFonts w:hint="eastAsia" w:asciiTheme="minorEastAsia" w:hAnsiTheme="minorEastAsia" w:eastAsiaTheme="minorEastAsia" w:cstheme="minorEastAsia"/>
          <w:spacing w:val="2"/>
          <w:w w:val="95"/>
        </w:rPr>
        <w:t>教育</w:t>
      </w:r>
      <w:r>
        <w:rPr>
          <w:rFonts w:hint="eastAsia" w:asciiTheme="minorEastAsia" w:hAnsiTheme="minorEastAsia" w:eastAsiaTheme="minorEastAsia" w:cstheme="minorEastAsia"/>
          <w:spacing w:val="2"/>
        </w:rPr>
        <w:t>（项）。</w:t>
      </w:r>
    </w:p>
    <w:p>
      <w:pPr>
        <w:pStyle w:val="6"/>
        <w:spacing w:before="2" w:line="350" w:lineRule="auto"/>
        <w:ind w:right="466" w:firstLine="584" w:firstLineChars="20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14"/>
        </w:rPr>
        <w:t>年初预算为</w:t>
      </w:r>
      <w:r>
        <w:rPr>
          <w:rFonts w:hint="eastAsia" w:asciiTheme="minorEastAsia" w:hAnsiTheme="minorEastAsia" w:eastAsiaTheme="minorEastAsia" w:cstheme="minorEastAsia"/>
          <w:spacing w:val="-14"/>
          <w:lang w:val="en-US" w:eastAsia="zh-CN"/>
        </w:rPr>
        <w:t>2380</w:t>
      </w:r>
      <w:r>
        <w:rPr>
          <w:rFonts w:hint="eastAsia" w:asciiTheme="minorEastAsia" w:hAnsiTheme="minorEastAsia" w:eastAsiaTheme="minorEastAsia" w:cstheme="minorEastAsia"/>
          <w:spacing w:val="-17"/>
        </w:rPr>
        <w:t>万元，支出决算为</w:t>
      </w:r>
      <w:r>
        <w:rPr>
          <w:rFonts w:hint="eastAsia" w:asciiTheme="minorEastAsia" w:hAnsiTheme="minorEastAsia" w:eastAsiaTheme="minorEastAsia" w:cstheme="minorEastAsia"/>
          <w:spacing w:val="-17"/>
          <w:lang w:val="en-US" w:eastAsia="zh-CN"/>
        </w:rPr>
        <w:t>2380</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spacing w:val="-9"/>
        </w:rPr>
        <w:t>万元，完成年初</w:t>
      </w:r>
      <w:r>
        <w:rPr>
          <w:rFonts w:hint="eastAsia" w:asciiTheme="minorEastAsia" w:hAnsiTheme="minorEastAsia" w:eastAsiaTheme="minorEastAsia" w:cstheme="minorEastAsia"/>
          <w:spacing w:val="-26"/>
        </w:rPr>
        <w:t xml:space="preserve">预算的 </w:t>
      </w:r>
      <w:r>
        <w:rPr>
          <w:rFonts w:hint="eastAsia" w:asciiTheme="minorEastAsia" w:hAnsiTheme="minorEastAsia" w:eastAsiaTheme="minorEastAsia" w:cstheme="minorEastAsia"/>
          <w:lang w:eastAsia="zh-CN"/>
        </w:rPr>
        <w:t>100</w:t>
      </w:r>
      <w:r>
        <w:rPr>
          <w:rFonts w:hint="eastAsia" w:asciiTheme="minorEastAsia" w:hAnsiTheme="minorEastAsia" w:eastAsiaTheme="minorEastAsia" w:cstheme="minorEastAsia"/>
        </w:rPr>
        <w:t>%。</w:t>
      </w:r>
    </w:p>
    <w:p>
      <w:pPr>
        <w:pStyle w:val="6"/>
        <w:spacing w:before="7" w:line="350" w:lineRule="auto"/>
        <w:ind w:right="346" w:firstLine="64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9、</w:t>
      </w:r>
      <w:r>
        <w:rPr>
          <w:rFonts w:hint="eastAsia" w:asciiTheme="minorEastAsia" w:hAnsiTheme="minorEastAsia" w:eastAsiaTheme="minorEastAsia" w:cstheme="minorEastAsia"/>
          <w:spacing w:val="3"/>
          <w:w w:val="95"/>
        </w:rPr>
        <w:t>教育支出</w:t>
      </w:r>
      <w:r>
        <w:rPr>
          <w:rFonts w:hint="eastAsia" w:asciiTheme="minorEastAsia" w:hAnsiTheme="minorEastAsia" w:eastAsiaTheme="minorEastAsia" w:cstheme="minorEastAsia"/>
          <w:spacing w:val="5"/>
          <w:w w:val="95"/>
        </w:rPr>
        <w:t>（类）</w:t>
      </w:r>
      <w:r>
        <w:rPr>
          <w:rFonts w:hint="eastAsia" w:asciiTheme="minorEastAsia" w:hAnsiTheme="minorEastAsia" w:eastAsiaTheme="minorEastAsia" w:cstheme="minorEastAsia"/>
          <w:spacing w:val="3"/>
          <w:w w:val="95"/>
        </w:rPr>
        <w:t>普通教育</w:t>
      </w:r>
      <w:r>
        <w:rPr>
          <w:rFonts w:hint="eastAsia" w:asciiTheme="minorEastAsia" w:hAnsiTheme="minorEastAsia" w:eastAsiaTheme="minorEastAsia" w:cstheme="minorEastAsia"/>
          <w:spacing w:val="5"/>
          <w:w w:val="95"/>
        </w:rPr>
        <w:t>（款）</w:t>
      </w:r>
      <w:r>
        <w:rPr>
          <w:rFonts w:hint="eastAsia" w:asciiTheme="minorEastAsia" w:hAnsiTheme="minorEastAsia" w:eastAsiaTheme="minorEastAsia" w:cstheme="minorEastAsia"/>
          <w:spacing w:val="5"/>
          <w:w w:val="95"/>
          <w:lang w:eastAsia="zh-CN"/>
        </w:rPr>
        <w:t>高中</w:t>
      </w:r>
      <w:r>
        <w:rPr>
          <w:rFonts w:hint="eastAsia" w:asciiTheme="minorEastAsia" w:hAnsiTheme="minorEastAsia" w:eastAsiaTheme="minorEastAsia" w:cstheme="minorEastAsia"/>
          <w:spacing w:val="2"/>
          <w:w w:val="95"/>
        </w:rPr>
        <w:t>教育</w:t>
      </w:r>
      <w:r>
        <w:rPr>
          <w:rFonts w:hint="eastAsia" w:asciiTheme="minorEastAsia" w:hAnsiTheme="minorEastAsia" w:eastAsiaTheme="minorEastAsia" w:cstheme="minorEastAsia"/>
          <w:spacing w:val="2"/>
        </w:rPr>
        <w:t>（项）。</w:t>
      </w:r>
    </w:p>
    <w:p>
      <w:pPr>
        <w:pStyle w:val="6"/>
        <w:spacing w:before="2" w:line="350" w:lineRule="auto"/>
        <w:ind w:right="466" w:firstLine="584" w:firstLineChars="20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14"/>
        </w:rPr>
        <w:t>年初预算为</w:t>
      </w:r>
      <w:r>
        <w:rPr>
          <w:rFonts w:hint="eastAsia" w:asciiTheme="minorEastAsia" w:hAnsiTheme="minorEastAsia" w:eastAsiaTheme="minorEastAsia" w:cstheme="minorEastAsia"/>
          <w:spacing w:val="-14"/>
          <w:lang w:val="en-US" w:eastAsia="zh-CN"/>
        </w:rPr>
        <w:t>4687</w:t>
      </w:r>
      <w:r>
        <w:rPr>
          <w:rFonts w:hint="eastAsia" w:asciiTheme="minorEastAsia" w:hAnsiTheme="minorEastAsia" w:eastAsiaTheme="minorEastAsia" w:cstheme="minorEastAsia"/>
          <w:spacing w:val="-17"/>
        </w:rPr>
        <w:t>万元，支出决算为</w:t>
      </w:r>
      <w:r>
        <w:rPr>
          <w:rFonts w:hint="eastAsia" w:asciiTheme="minorEastAsia" w:hAnsiTheme="minorEastAsia" w:eastAsiaTheme="minorEastAsia" w:cstheme="minorEastAsia"/>
          <w:spacing w:val="-14"/>
          <w:lang w:val="en-US" w:eastAsia="zh-CN"/>
        </w:rPr>
        <w:t>4687</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spacing w:val="-9"/>
        </w:rPr>
        <w:t>万元，完成年初</w:t>
      </w:r>
      <w:r>
        <w:rPr>
          <w:rFonts w:hint="eastAsia" w:asciiTheme="minorEastAsia" w:hAnsiTheme="minorEastAsia" w:eastAsiaTheme="minorEastAsia" w:cstheme="minorEastAsia"/>
          <w:spacing w:val="-26"/>
        </w:rPr>
        <w:t xml:space="preserve">预算的 </w:t>
      </w:r>
      <w:r>
        <w:rPr>
          <w:rFonts w:hint="eastAsia" w:asciiTheme="minorEastAsia" w:hAnsiTheme="minorEastAsia" w:eastAsiaTheme="minorEastAsia" w:cstheme="minorEastAsia"/>
          <w:lang w:eastAsia="zh-CN"/>
        </w:rPr>
        <w:t>100</w:t>
      </w:r>
      <w:r>
        <w:rPr>
          <w:rFonts w:hint="eastAsia" w:asciiTheme="minorEastAsia" w:hAnsiTheme="minorEastAsia" w:eastAsiaTheme="minorEastAsia" w:cstheme="minorEastAsia"/>
        </w:rPr>
        <w:t>%。</w:t>
      </w:r>
    </w:p>
    <w:p>
      <w:pPr>
        <w:pStyle w:val="6"/>
        <w:spacing w:before="2" w:line="350" w:lineRule="auto"/>
        <w:ind w:right="466" w:firstLine="640" w:firstLineChars="200"/>
        <w:jc w:val="both"/>
        <w:rPr>
          <w:rFonts w:hint="eastAsia" w:asciiTheme="minorEastAsia" w:hAnsiTheme="minorEastAsia" w:eastAsiaTheme="minorEastAsia" w:cstheme="minorEastAsia"/>
          <w:lang w:val="en-US" w:eastAsia="zh-CN"/>
        </w:rPr>
      </w:pPr>
    </w:p>
    <w:p>
      <w:pPr>
        <w:pStyle w:val="6"/>
        <w:spacing w:before="7" w:line="350" w:lineRule="auto"/>
        <w:ind w:right="346" w:firstLine="62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3"/>
          <w:w w:val="95"/>
          <w:lang w:val="en-US" w:eastAsia="zh-CN"/>
        </w:rPr>
        <w:t>10</w:t>
      </w:r>
      <w:r>
        <w:rPr>
          <w:rFonts w:hint="eastAsia" w:asciiTheme="minorEastAsia" w:hAnsiTheme="minorEastAsia" w:eastAsiaTheme="minorEastAsia" w:cstheme="minorEastAsia"/>
          <w:spacing w:val="3"/>
          <w:w w:val="95"/>
          <w:lang w:eastAsia="zh-CN"/>
        </w:rPr>
        <w:t>、</w:t>
      </w:r>
      <w:r>
        <w:rPr>
          <w:rFonts w:hint="eastAsia" w:asciiTheme="minorEastAsia" w:hAnsiTheme="minorEastAsia" w:eastAsiaTheme="minorEastAsia" w:cstheme="minorEastAsia"/>
          <w:spacing w:val="3"/>
          <w:w w:val="95"/>
        </w:rPr>
        <w:t>节能环保支出</w:t>
      </w:r>
      <w:r>
        <w:rPr>
          <w:rFonts w:hint="eastAsia" w:asciiTheme="minorEastAsia" w:hAnsiTheme="minorEastAsia" w:eastAsiaTheme="minorEastAsia" w:cstheme="minorEastAsia"/>
          <w:spacing w:val="5"/>
          <w:w w:val="95"/>
        </w:rPr>
        <w:t>（类）</w:t>
      </w:r>
      <w:r>
        <w:rPr>
          <w:rFonts w:hint="eastAsia" w:asciiTheme="minorEastAsia" w:hAnsiTheme="minorEastAsia" w:eastAsiaTheme="minorEastAsia" w:cstheme="minorEastAsia"/>
          <w:spacing w:val="3"/>
          <w:w w:val="95"/>
        </w:rPr>
        <w:t>自然生态保护</w:t>
      </w:r>
      <w:r>
        <w:rPr>
          <w:rFonts w:hint="eastAsia" w:asciiTheme="minorEastAsia" w:hAnsiTheme="minorEastAsia" w:eastAsiaTheme="minorEastAsia" w:cstheme="minorEastAsia"/>
          <w:spacing w:val="5"/>
          <w:w w:val="95"/>
        </w:rPr>
        <w:t>（款）</w:t>
      </w:r>
      <w:r>
        <w:rPr>
          <w:rFonts w:hint="eastAsia" w:asciiTheme="minorEastAsia" w:hAnsiTheme="minorEastAsia" w:eastAsiaTheme="minorEastAsia" w:cstheme="minorEastAsia"/>
          <w:spacing w:val="2"/>
          <w:w w:val="95"/>
        </w:rPr>
        <w:t>农村环境保护</w:t>
      </w:r>
      <w:r>
        <w:rPr>
          <w:rFonts w:hint="eastAsia" w:asciiTheme="minorEastAsia" w:hAnsiTheme="minorEastAsia" w:eastAsiaTheme="minorEastAsia" w:cstheme="minorEastAsia"/>
          <w:spacing w:val="2"/>
        </w:rPr>
        <w:t>（项）。</w:t>
      </w:r>
    </w:p>
    <w:p>
      <w:pPr>
        <w:pStyle w:val="6"/>
        <w:spacing w:before="7" w:line="350" w:lineRule="auto"/>
        <w:ind w:right="346" w:firstLine="584"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14"/>
        </w:rPr>
        <w:t xml:space="preserve">年初预算为 </w:t>
      </w:r>
      <w:r>
        <w:rPr>
          <w:rFonts w:hint="eastAsia" w:asciiTheme="minorEastAsia" w:hAnsiTheme="minorEastAsia" w:eastAsiaTheme="minorEastAsia" w:cstheme="minorEastAsia"/>
          <w:lang w:eastAsia="zh-CN"/>
        </w:rPr>
        <w:t>53</w:t>
      </w:r>
      <w:r>
        <w:rPr>
          <w:rFonts w:hint="eastAsia" w:asciiTheme="minorEastAsia" w:hAnsiTheme="minorEastAsia" w:eastAsiaTheme="minorEastAsia" w:cstheme="minorEastAsia"/>
          <w:spacing w:val="-17"/>
        </w:rPr>
        <w:t xml:space="preserve">万元，支出决算为 </w:t>
      </w:r>
      <w:r>
        <w:rPr>
          <w:rFonts w:hint="eastAsia" w:asciiTheme="minorEastAsia" w:hAnsiTheme="minorEastAsia" w:eastAsiaTheme="minorEastAsia" w:cstheme="minorEastAsia"/>
          <w:lang w:eastAsia="zh-CN"/>
        </w:rPr>
        <w:t>53</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spacing w:val="-9"/>
        </w:rPr>
        <w:t>万元，完成年初</w:t>
      </w:r>
      <w:r>
        <w:rPr>
          <w:rFonts w:hint="eastAsia" w:asciiTheme="minorEastAsia" w:hAnsiTheme="minorEastAsia" w:eastAsiaTheme="minorEastAsia" w:cstheme="minorEastAsia"/>
          <w:spacing w:val="-26"/>
        </w:rPr>
        <w:t xml:space="preserve">预算的 </w:t>
      </w:r>
      <w:r>
        <w:rPr>
          <w:rFonts w:hint="eastAsia" w:asciiTheme="minorEastAsia" w:hAnsiTheme="minorEastAsia" w:eastAsiaTheme="minorEastAsia" w:cstheme="minorEastAsia"/>
          <w:lang w:eastAsia="zh-CN"/>
        </w:rPr>
        <w:t>100</w:t>
      </w:r>
      <w:r>
        <w:rPr>
          <w:rFonts w:hint="eastAsia" w:asciiTheme="minorEastAsia" w:hAnsiTheme="minorEastAsia" w:eastAsiaTheme="minorEastAsia" w:cstheme="minorEastAsia"/>
        </w:rPr>
        <w:t>%。</w:t>
      </w:r>
    </w:p>
    <w:p>
      <w:pPr>
        <w:pStyle w:val="6"/>
        <w:spacing w:before="7" w:line="350" w:lineRule="auto"/>
        <w:ind w:right="346" w:firstLine="62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3"/>
          <w:w w:val="95"/>
          <w:lang w:val="en-US" w:eastAsia="zh-CN"/>
        </w:rPr>
        <w:t>11</w:t>
      </w:r>
      <w:r>
        <w:rPr>
          <w:rFonts w:hint="eastAsia" w:asciiTheme="minorEastAsia" w:hAnsiTheme="minorEastAsia" w:eastAsiaTheme="minorEastAsia" w:cstheme="minorEastAsia"/>
          <w:spacing w:val="3"/>
          <w:w w:val="95"/>
          <w:lang w:eastAsia="zh-CN"/>
        </w:rPr>
        <w:t>、</w:t>
      </w:r>
      <w:r>
        <w:rPr>
          <w:rFonts w:hint="eastAsia" w:asciiTheme="minorEastAsia" w:hAnsiTheme="minorEastAsia" w:eastAsiaTheme="minorEastAsia" w:cstheme="minorEastAsia"/>
          <w:spacing w:val="3"/>
          <w:w w:val="95"/>
        </w:rPr>
        <w:t>节能环保支出</w:t>
      </w:r>
      <w:r>
        <w:rPr>
          <w:rFonts w:hint="eastAsia" w:asciiTheme="minorEastAsia" w:hAnsiTheme="minorEastAsia" w:eastAsiaTheme="minorEastAsia" w:cstheme="minorEastAsia"/>
          <w:spacing w:val="5"/>
          <w:w w:val="95"/>
        </w:rPr>
        <w:t>（类）</w:t>
      </w:r>
      <w:r>
        <w:rPr>
          <w:rFonts w:hint="eastAsia" w:asciiTheme="minorEastAsia" w:hAnsiTheme="minorEastAsia" w:eastAsiaTheme="minorEastAsia" w:cstheme="minorEastAsia"/>
          <w:spacing w:val="3"/>
          <w:w w:val="95"/>
        </w:rPr>
        <w:t>其他节能环保支出</w:t>
      </w:r>
      <w:r>
        <w:rPr>
          <w:rFonts w:hint="eastAsia" w:asciiTheme="minorEastAsia" w:hAnsiTheme="minorEastAsia" w:eastAsiaTheme="minorEastAsia" w:cstheme="minorEastAsia"/>
          <w:spacing w:val="5"/>
          <w:w w:val="95"/>
        </w:rPr>
        <w:t>（款）</w:t>
      </w:r>
      <w:r>
        <w:rPr>
          <w:rFonts w:hint="eastAsia" w:asciiTheme="minorEastAsia" w:hAnsiTheme="minorEastAsia" w:eastAsiaTheme="minorEastAsia" w:cstheme="minorEastAsia"/>
          <w:spacing w:val="2"/>
          <w:w w:val="95"/>
        </w:rPr>
        <w:t>其他节能环保支出</w:t>
      </w:r>
      <w:r>
        <w:rPr>
          <w:rFonts w:hint="eastAsia" w:asciiTheme="minorEastAsia" w:hAnsiTheme="minorEastAsia" w:eastAsiaTheme="minorEastAsia" w:cstheme="minorEastAsia"/>
          <w:spacing w:val="2"/>
        </w:rPr>
        <w:t>（项）。</w:t>
      </w:r>
    </w:p>
    <w:p>
      <w:pPr>
        <w:pStyle w:val="6"/>
        <w:spacing w:before="2" w:line="350" w:lineRule="auto"/>
        <w:ind w:right="466" w:firstLine="584" w:firstLineChars="20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14"/>
        </w:rPr>
        <w:t xml:space="preserve">年初预算为 </w:t>
      </w:r>
      <w:r>
        <w:rPr>
          <w:rFonts w:hint="eastAsia" w:asciiTheme="minorEastAsia" w:hAnsiTheme="minorEastAsia" w:eastAsiaTheme="minorEastAsia" w:cstheme="minorEastAsia"/>
          <w:lang w:eastAsia="zh-CN"/>
        </w:rPr>
        <w:t>13</w:t>
      </w:r>
      <w:r>
        <w:rPr>
          <w:rFonts w:hint="eastAsia" w:asciiTheme="minorEastAsia" w:hAnsiTheme="minorEastAsia" w:eastAsiaTheme="minorEastAsia" w:cstheme="minorEastAsia"/>
          <w:lang w:val="en-US" w:eastAsia="zh-CN"/>
        </w:rPr>
        <w:t>1</w:t>
      </w:r>
      <w:r>
        <w:rPr>
          <w:rFonts w:hint="eastAsia" w:asciiTheme="minorEastAsia" w:hAnsiTheme="minorEastAsia" w:eastAsiaTheme="minorEastAsia" w:cstheme="minorEastAsia"/>
          <w:spacing w:val="-17"/>
        </w:rPr>
        <w:t>万元，支出决算为</w:t>
      </w:r>
      <w:r>
        <w:rPr>
          <w:rFonts w:hint="eastAsia" w:asciiTheme="minorEastAsia" w:hAnsiTheme="minorEastAsia" w:eastAsiaTheme="minorEastAsia" w:cstheme="minorEastAsia"/>
          <w:spacing w:val="-17"/>
          <w:lang w:eastAsia="zh-CN"/>
        </w:rPr>
        <w:t>13</w:t>
      </w:r>
      <w:r>
        <w:rPr>
          <w:rFonts w:hint="eastAsia" w:asciiTheme="minorEastAsia" w:hAnsiTheme="minorEastAsia" w:eastAsiaTheme="minorEastAsia" w:cstheme="minorEastAsia"/>
          <w:spacing w:val="-17"/>
          <w:lang w:val="en-US" w:eastAsia="zh-CN"/>
        </w:rPr>
        <w:t>1</w:t>
      </w:r>
      <w:r>
        <w:rPr>
          <w:rFonts w:hint="eastAsia" w:asciiTheme="minorEastAsia" w:hAnsiTheme="minorEastAsia" w:eastAsiaTheme="minorEastAsia" w:cstheme="minorEastAsia"/>
          <w:spacing w:val="-9"/>
        </w:rPr>
        <w:t>万元，完成年初</w:t>
      </w:r>
      <w:r>
        <w:rPr>
          <w:rFonts w:hint="eastAsia" w:asciiTheme="minorEastAsia" w:hAnsiTheme="minorEastAsia" w:eastAsiaTheme="minorEastAsia" w:cstheme="minorEastAsia"/>
          <w:spacing w:val="-26"/>
        </w:rPr>
        <w:t xml:space="preserve">预算的 </w:t>
      </w:r>
      <w:r>
        <w:rPr>
          <w:rFonts w:hint="eastAsia" w:asciiTheme="minorEastAsia" w:hAnsiTheme="minorEastAsia" w:eastAsiaTheme="minorEastAsia" w:cstheme="minorEastAsia"/>
          <w:lang w:eastAsia="zh-CN"/>
        </w:rPr>
        <w:t>100</w:t>
      </w:r>
      <w:r>
        <w:rPr>
          <w:rFonts w:hint="eastAsia" w:asciiTheme="minorEastAsia" w:hAnsiTheme="minorEastAsia" w:eastAsiaTheme="minorEastAsia" w:cstheme="minorEastAsia"/>
        </w:rPr>
        <w:t>%。</w:t>
      </w:r>
    </w:p>
    <w:p>
      <w:pPr>
        <w:pStyle w:val="6"/>
        <w:spacing w:before="2" w:line="350" w:lineRule="auto"/>
        <w:ind w:right="466" w:firstLine="640" w:firstLineChars="20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12、</w:t>
      </w:r>
      <w:r>
        <w:rPr>
          <w:rFonts w:hint="eastAsia" w:asciiTheme="minorEastAsia" w:hAnsiTheme="minorEastAsia" w:eastAsiaTheme="minorEastAsia" w:cstheme="minorEastAsia"/>
        </w:rPr>
        <w:t>城乡社区支出（类）国有土地使用权出让收入及对应专项债务收入安排的支出（款）其他国有土地使用权出让收入安排的支出（项）。</w:t>
      </w:r>
    </w:p>
    <w:p>
      <w:pPr>
        <w:pStyle w:val="6"/>
        <w:spacing w:before="2" w:line="350" w:lineRule="auto"/>
        <w:ind w:right="464" w:firstLine="584"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14"/>
        </w:rPr>
        <w:t>年初预算为</w:t>
      </w:r>
      <w:r>
        <w:rPr>
          <w:rFonts w:hint="eastAsia" w:asciiTheme="minorEastAsia" w:hAnsiTheme="minorEastAsia" w:eastAsiaTheme="minorEastAsia" w:cstheme="minorEastAsia"/>
          <w:spacing w:val="-14"/>
          <w:lang w:eastAsia="zh-CN"/>
        </w:rPr>
        <w:t>3091</w:t>
      </w:r>
      <w:r>
        <w:rPr>
          <w:rFonts w:hint="eastAsia" w:asciiTheme="minorEastAsia" w:hAnsiTheme="minorEastAsia" w:eastAsiaTheme="minorEastAsia" w:cstheme="minorEastAsia"/>
          <w:spacing w:val="-17"/>
        </w:rPr>
        <w:t>万元，支出决算为</w:t>
      </w:r>
      <w:r>
        <w:rPr>
          <w:rFonts w:hint="eastAsia" w:asciiTheme="minorEastAsia" w:hAnsiTheme="minorEastAsia" w:eastAsiaTheme="minorEastAsia" w:cstheme="minorEastAsia"/>
          <w:spacing w:val="-17"/>
          <w:lang w:eastAsia="zh-CN"/>
        </w:rPr>
        <w:t>3091</w:t>
      </w:r>
      <w:r>
        <w:rPr>
          <w:rFonts w:hint="eastAsia" w:asciiTheme="minorEastAsia" w:hAnsiTheme="minorEastAsia" w:eastAsiaTheme="minorEastAsia" w:cstheme="minorEastAsia"/>
          <w:spacing w:val="-9"/>
        </w:rPr>
        <w:t>万元，完成年初</w:t>
      </w:r>
      <w:r>
        <w:rPr>
          <w:rFonts w:hint="eastAsia" w:asciiTheme="minorEastAsia" w:hAnsiTheme="minorEastAsia" w:eastAsiaTheme="minorEastAsia" w:cstheme="minorEastAsia"/>
          <w:spacing w:val="-26"/>
        </w:rPr>
        <w:t xml:space="preserve">预算的 </w:t>
      </w:r>
      <w:r>
        <w:rPr>
          <w:rFonts w:hint="eastAsia" w:asciiTheme="minorEastAsia" w:hAnsiTheme="minorEastAsia" w:eastAsiaTheme="minorEastAsia" w:cstheme="minorEastAsia"/>
          <w:lang w:eastAsia="zh-CN"/>
        </w:rPr>
        <w:t>100</w:t>
      </w:r>
      <w:r>
        <w:rPr>
          <w:rFonts w:hint="eastAsia" w:asciiTheme="minorEastAsia" w:hAnsiTheme="minorEastAsia" w:eastAsiaTheme="minorEastAsia" w:cstheme="minorEastAsia"/>
        </w:rPr>
        <w:t>%。</w:t>
      </w:r>
    </w:p>
    <w:p>
      <w:pPr>
        <w:pStyle w:val="6"/>
        <w:spacing w:before="2" w:line="350" w:lineRule="auto"/>
        <w:ind w:right="464" w:firstLine="604"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1"/>
          <w:w w:val="95"/>
          <w:lang w:val="en-US" w:eastAsia="zh-CN"/>
        </w:rPr>
        <w:t>13</w:t>
      </w:r>
      <w:r>
        <w:rPr>
          <w:rFonts w:hint="eastAsia" w:asciiTheme="minorEastAsia" w:hAnsiTheme="minorEastAsia" w:eastAsiaTheme="minorEastAsia" w:cstheme="minorEastAsia"/>
          <w:spacing w:val="-1"/>
          <w:w w:val="95"/>
          <w:lang w:eastAsia="zh-CN"/>
        </w:rPr>
        <w:t>、</w:t>
      </w:r>
      <w:r>
        <w:rPr>
          <w:rFonts w:hint="eastAsia" w:asciiTheme="minorEastAsia" w:hAnsiTheme="minorEastAsia" w:eastAsiaTheme="minorEastAsia" w:cstheme="minorEastAsia"/>
          <w:spacing w:val="-1"/>
          <w:w w:val="95"/>
        </w:rPr>
        <w:t>农林水支出</w:t>
      </w:r>
      <w:r>
        <w:rPr>
          <w:rFonts w:hint="eastAsia" w:asciiTheme="minorEastAsia" w:hAnsiTheme="minorEastAsia" w:eastAsiaTheme="minorEastAsia" w:cstheme="minorEastAsia"/>
          <w:w w:val="95"/>
        </w:rPr>
        <w:t>（类</w:t>
      </w:r>
      <w:r>
        <w:rPr>
          <w:rFonts w:hint="eastAsia" w:asciiTheme="minorEastAsia" w:hAnsiTheme="minorEastAsia" w:eastAsiaTheme="minorEastAsia" w:cstheme="minorEastAsia"/>
          <w:spacing w:val="-7"/>
          <w:w w:val="95"/>
        </w:rPr>
        <w:t>）</w:t>
      </w:r>
      <w:r>
        <w:rPr>
          <w:rFonts w:hint="eastAsia" w:asciiTheme="minorEastAsia" w:hAnsiTheme="minorEastAsia" w:eastAsiaTheme="minorEastAsia" w:cstheme="minorEastAsia"/>
          <w:spacing w:val="-2"/>
          <w:w w:val="95"/>
        </w:rPr>
        <w:t>林业</w:t>
      </w:r>
      <w:r>
        <w:rPr>
          <w:rFonts w:hint="eastAsia" w:asciiTheme="minorEastAsia" w:hAnsiTheme="minorEastAsia" w:eastAsiaTheme="minorEastAsia" w:cstheme="minorEastAsia"/>
          <w:spacing w:val="-2"/>
          <w:w w:val="95"/>
          <w:lang w:eastAsia="zh-CN"/>
        </w:rPr>
        <w:t>和草原</w:t>
      </w:r>
      <w:r>
        <w:rPr>
          <w:rFonts w:hint="eastAsia" w:asciiTheme="minorEastAsia" w:hAnsiTheme="minorEastAsia" w:eastAsiaTheme="minorEastAsia" w:cstheme="minorEastAsia"/>
          <w:w w:val="95"/>
        </w:rPr>
        <w:t>（款</w:t>
      </w:r>
      <w:r>
        <w:rPr>
          <w:rFonts w:hint="eastAsia" w:asciiTheme="minorEastAsia" w:hAnsiTheme="minorEastAsia" w:eastAsiaTheme="minorEastAsia" w:cstheme="minorEastAsia"/>
          <w:spacing w:val="-5"/>
          <w:w w:val="95"/>
        </w:rPr>
        <w:t>）</w:t>
      </w:r>
      <w:r>
        <w:rPr>
          <w:rFonts w:hint="eastAsia" w:asciiTheme="minorEastAsia" w:hAnsiTheme="minorEastAsia" w:eastAsiaTheme="minorEastAsia" w:cstheme="minorEastAsia"/>
          <w:w w:val="95"/>
        </w:rPr>
        <w:t>森林生态效益补偿</w:t>
      </w:r>
      <w:r>
        <w:rPr>
          <w:rFonts w:hint="eastAsia" w:asciiTheme="minorEastAsia" w:hAnsiTheme="minorEastAsia" w:eastAsiaTheme="minorEastAsia" w:cstheme="minorEastAsia"/>
        </w:rPr>
        <w:t>（项）。</w:t>
      </w:r>
    </w:p>
    <w:p>
      <w:pPr>
        <w:pStyle w:val="6"/>
        <w:spacing w:before="2" w:line="350" w:lineRule="auto"/>
        <w:ind w:right="464" w:firstLine="584"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14"/>
        </w:rPr>
        <w:t xml:space="preserve">年初预算为 </w:t>
      </w:r>
      <w:r>
        <w:rPr>
          <w:rFonts w:hint="eastAsia" w:asciiTheme="minorEastAsia" w:hAnsiTheme="minorEastAsia" w:eastAsiaTheme="minorEastAsia" w:cstheme="minorEastAsia"/>
          <w:spacing w:val="-14"/>
          <w:lang w:val="en-US" w:eastAsia="zh-CN"/>
        </w:rPr>
        <w:t>59</w:t>
      </w:r>
      <w:r>
        <w:rPr>
          <w:rFonts w:hint="eastAsia" w:asciiTheme="minorEastAsia" w:hAnsiTheme="minorEastAsia" w:eastAsiaTheme="minorEastAsia" w:cstheme="minorEastAsia"/>
          <w:spacing w:val="-17"/>
        </w:rPr>
        <w:t xml:space="preserve">万元，支出决算为 </w:t>
      </w:r>
      <w:r>
        <w:rPr>
          <w:rFonts w:hint="eastAsia" w:asciiTheme="minorEastAsia" w:hAnsiTheme="minorEastAsia" w:eastAsiaTheme="minorEastAsia" w:cstheme="minorEastAsia"/>
          <w:spacing w:val="-17"/>
          <w:lang w:val="en-US" w:eastAsia="zh-CN"/>
        </w:rPr>
        <w:t>59</w:t>
      </w:r>
      <w:r>
        <w:rPr>
          <w:rFonts w:hint="eastAsia" w:asciiTheme="minorEastAsia" w:hAnsiTheme="minorEastAsia" w:eastAsiaTheme="minorEastAsia" w:cstheme="minorEastAsia"/>
          <w:spacing w:val="-9"/>
        </w:rPr>
        <w:t>万元，完成年初</w:t>
      </w:r>
      <w:r>
        <w:rPr>
          <w:rFonts w:hint="eastAsia" w:asciiTheme="minorEastAsia" w:hAnsiTheme="minorEastAsia" w:eastAsiaTheme="minorEastAsia" w:cstheme="minorEastAsia"/>
          <w:spacing w:val="-26"/>
        </w:rPr>
        <w:t xml:space="preserve">预算的 </w:t>
      </w:r>
      <w:r>
        <w:rPr>
          <w:rFonts w:hint="eastAsia" w:asciiTheme="minorEastAsia" w:hAnsiTheme="minorEastAsia" w:eastAsiaTheme="minorEastAsia" w:cstheme="minorEastAsia"/>
          <w:lang w:eastAsia="zh-CN"/>
        </w:rPr>
        <w:t>100</w:t>
      </w:r>
      <w:r>
        <w:rPr>
          <w:rFonts w:hint="eastAsia" w:asciiTheme="minorEastAsia" w:hAnsiTheme="minorEastAsia" w:eastAsiaTheme="minorEastAsia" w:cstheme="minorEastAsia"/>
        </w:rPr>
        <w:t>%。</w:t>
      </w:r>
    </w:p>
    <w:p>
      <w:pPr>
        <w:pStyle w:val="6"/>
        <w:spacing w:before="2" w:line="350" w:lineRule="auto"/>
        <w:ind w:right="464" w:firstLine="604"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1"/>
          <w:w w:val="95"/>
          <w:lang w:val="en-US" w:eastAsia="zh-CN"/>
        </w:rPr>
        <w:t>14</w:t>
      </w:r>
      <w:r>
        <w:rPr>
          <w:rFonts w:hint="eastAsia" w:asciiTheme="minorEastAsia" w:hAnsiTheme="minorEastAsia" w:eastAsiaTheme="minorEastAsia" w:cstheme="minorEastAsia"/>
          <w:spacing w:val="-1"/>
          <w:w w:val="95"/>
          <w:lang w:eastAsia="zh-CN"/>
        </w:rPr>
        <w:t>、</w:t>
      </w:r>
      <w:r>
        <w:rPr>
          <w:rFonts w:hint="eastAsia" w:asciiTheme="minorEastAsia" w:hAnsiTheme="minorEastAsia" w:eastAsiaTheme="minorEastAsia" w:cstheme="minorEastAsia"/>
          <w:spacing w:val="-1"/>
          <w:w w:val="95"/>
        </w:rPr>
        <w:t>农林水支出</w:t>
      </w:r>
      <w:r>
        <w:rPr>
          <w:rFonts w:hint="eastAsia" w:asciiTheme="minorEastAsia" w:hAnsiTheme="minorEastAsia" w:eastAsiaTheme="minorEastAsia" w:cstheme="minorEastAsia"/>
          <w:w w:val="95"/>
        </w:rPr>
        <w:t>（类</w:t>
      </w:r>
      <w:r>
        <w:rPr>
          <w:rFonts w:hint="eastAsia" w:asciiTheme="minorEastAsia" w:hAnsiTheme="minorEastAsia" w:eastAsiaTheme="minorEastAsia" w:cstheme="minorEastAsia"/>
          <w:spacing w:val="-7"/>
          <w:w w:val="95"/>
        </w:rPr>
        <w:t>）</w:t>
      </w:r>
      <w:r>
        <w:rPr>
          <w:rFonts w:hint="eastAsia" w:asciiTheme="minorEastAsia" w:hAnsiTheme="minorEastAsia" w:eastAsiaTheme="minorEastAsia" w:cstheme="minorEastAsia"/>
          <w:spacing w:val="-2"/>
          <w:w w:val="95"/>
        </w:rPr>
        <w:t>农村综合改革</w:t>
      </w:r>
      <w:r>
        <w:rPr>
          <w:rFonts w:hint="eastAsia" w:asciiTheme="minorEastAsia" w:hAnsiTheme="minorEastAsia" w:eastAsiaTheme="minorEastAsia" w:cstheme="minorEastAsia"/>
          <w:w w:val="95"/>
        </w:rPr>
        <w:t>（款</w:t>
      </w:r>
      <w:r>
        <w:rPr>
          <w:rFonts w:hint="eastAsia" w:asciiTheme="minorEastAsia" w:hAnsiTheme="minorEastAsia" w:eastAsiaTheme="minorEastAsia" w:cstheme="minorEastAsia"/>
          <w:spacing w:val="-5"/>
          <w:w w:val="95"/>
        </w:rPr>
        <w:t>）</w:t>
      </w:r>
      <w:r>
        <w:rPr>
          <w:rFonts w:hint="eastAsia" w:asciiTheme="minorEastAsia" w:hAnsiTheme="minorEastAsia" w:eastAsiaTheme="minorEastAsia" w:cstheme="minorEastAsia"/>
          <w:w w:val="95"/>
        </w:rPr>
        <w:t>对村级一事一议的补助</w:t>
      </w:r>
      <w:r>
        <w:rPr>
          <w:rFonts w:hint="eastAsia" w:asciiTheme="minorEastAsia" w:hAnsiTheme="minorEastAsia" w:eastAsiaTheme="minorEastAsia" w:cstheme="minorEastAsia"/>
        </w:rPr>
        <w:t>（项）。</w:t>
      </w:r>
    </w:p>
    <w:p>
      <w:pPr>
        <w:pStyle w:val="6"/>
        <w:spacing w:before="2" w:line="350" w:lineRule="auto"/>
        <w:ind w:right="464" w:firstLine="584"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14"/>
        </w:rPr>
        <w:t xml:space="preserve">年初预算为 </w:t>
      </w:r>
      <w:r>
        <w:rPr>
          <w:rFonts w:hint="eastAsia" w:asciiTheme="minorEastAsia" w:hAnsiTheme="minorEastAsia" w:eastAsiaTheme="minorEastAsia" w:cstheme="minorEastAsia"/>
          <w:spacing w:val="-14"/>
          <w:lang w:val="en-US" w:eastAsia="zh-CN"/>
        </w:rPr>
        <w:t>93</w:t>
      </w:r>
      <w:r>
        <w:rPr>
          <w:rFonts w:hint="eastAsia" w:asciiTheme="minorEastAsia" w:hAnsiTheme="minorEastAsia" w:eastAsiaTheme="minorEastAsia" w:cstheme="minorEastAsia"/>
          <w:lang w:eastAsia="zh-CN"/>
        </w:rPr>
        <w:t>万</w:t>
      </w:r>
      <w:r>
        <w:rPr>
          <w:rFonts w:hint="eastAsia" w:asciiTheme="minorEastAsia" w:hAnsiTheme="minorEastAsia" w:eastAsiaTheme="minorEastAsia" w:cstheme="minorEastAsia"/>
          <w:spacing w:val="-17"/>
        </w:rPr>
        <w:t xml:space="preserve">元，支出决算为 </w:t>
      </w:r>
      <w:r>
        <w:rPr>
          <w:rFonts w:hint="eastAsia" w:asciiTheme="minorEastAsia" w:hAnsiTheme="minorEastAsia" w:eastAsiaTheme="minorEastAsia" w:cstheme="minorEastAsia"/>
          <w:lang w:eastAsia="zh-CN"/>
        </w:rPr>
        <w:t>6</w:t>
      </w:r>
      <w:r>
        <w:rPr>
          <w:rFonts w:hint="eastAsia" w:asciiTheme="minorEastAsia" w:hAnsiTheme="minorEastAsia" w:eastAsiaTheme="minorEastAsia" w:cstheme="minorEastAsia"/>
          <w:lang w:val="en-US" w:eastAsia="zh-CN"/>
        </w:rPr>
        <w:t>93</w:t>
      </w:r>
      <w:r>
        <w:rPr>
          <w:rFonts w:hint="eastAsia" w:asciiTheme="minorEastAsia" w:hAnsiTheme="minorEastAsia" w:eastAsiaTheme="minorEastAsia" w:cstheme="minorEastAsia"/>
          <w:spacing w:val="-9"/>
        </w:rPr>
        <w:t>万元，完成年初</w:t>
      </w:r>
      <w:r>
        <w:rPr>
          <w:rFonts w:hint="eastAsia" w:asciiTheme="minorEastAsia" w:hAnsiTheme="minorEastAsia" w:eastAsiaTheme="minorEastAsia" w:cstheme="minorEastAsia"/>
          <w:spacing w:val="-26"/>
        </w:rPr>
        <w:t xml:space="preserve">预算的 </w:t>
      </w:r>
      <w:r>
        <w:rPr>
          <w:rFonts w:hint="eastAsia" w:asciiTheme="minorEastAsia" w:hAnsiTheme="minorEastAsia" w:eastAsiaTheme="minorEastAsia" w:cstheme="minorEastAsia"/>
          <w:lang w:eastAsia="zh-CN"/>
        </w:rPr>
        <w:t>100</w:t>
      </w:r>
      <w:r>
        <w:rPr>
          <w:rFonts w:hint="eastAsia" w:asciiTheme="minorEastAsia" w:hAnsiTheme="minorEastAsia" w:eastAsiaTheme="minorEastAsia" w:cstheme="minorEastAsia"/>
        </w:rPr>
        <w:t>%。</w:t>
      </w:r>
    </w:p>
    <w:p>
      <w:pPr>
        <w:pStyle w:val="6"/>
        <w:spacing w:before="2" w:line="350" w:lineRule="auto"/>
        <w:ind w:right="464" w:firstLine="604"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1"/>
          <w:w w:val="95"/>
          <w:lang w:val="en-US" w:eastAsia="zh-CN"/>
        </w:rPr>
        <w:t>15</w:t>
      </w:r>
      <w:r>
        <w:rPr>
          <w:rFonts w:hint="eastAsia" w:asciiTheme="minorEastAsia" w:hAnsiTheme="minorEastAsia" w:eastAsiaTheme="minorEastAsia" w:cstheme="minorEastAsia"/>
          <w:spacing w:val="-1"/>
          <w:w w:val="95"/>
          <w:lang w:eastAsia="zh-CN"/>
        </w:rPr>
        <w:t>、</w:t>
      </w:r>
      <w:r>
        <w:rPr>
          <w:rFonts w:hint="eastAsia" w:asciiTheme="minorEastAsia" w:hAnsiTheme="minorEastAsia" w:eastAsiaTheme="minorEastAsia" w:cstheme="minorEastAsia"/>
          <w:spacing w:val="-1"/>
          <w:w w:val="95"/>
        </w:rPr>
        <w:t>农林水支出</w:t>
      </w:r>
      <w:r>
        <w:rPr>
          <w:rFonts w:hint="eastAsia" w:asciiTheme="minorEastAsia" w:hAnsiTheme="minorEastAsia" w:eastAsiaTheme="minorEastAsia" w:cstheme="minorEastAsia"/>
          <w:w w:val="95"/>
        </w:rPr>
        <w:t>（类</w:t>
      </w:r>
      <w:r>
        <w:rPr>
          <w:rFonts w:hint="eastAsia" w:asciiTheme="minorEastAsia" w:hAnsiTheme="minorEastAsia" w:eastAsiaTheme="minorEastAsia" w:cstheme="minorEastAsia"/>
          <w:spacing w:val="-7"/>
          <w:w w:val="95"/>
        </w:rPr>
        <w:t>）</w:t>
      </w:r>
      <w:r>
        <w:rPr>
          <w:rFonts w:hint="eastAsia" w:asciiTheme="minorEastAsia" w:hAnsiTheme="minorEastAsia" w:eastAsiaTheme="minorEastAsia" w:cstheme="minorEastAsia"/>
          <w:spacing w:val="-2"/>
          <w:w w:val="95"/>
        </w:rPr>
        <w:t>农村综合改革</w:t>
      </w:r>
      <w:r>
        <w:rPr>
          <w:rFonts w:hint="eastAsia" w:asciiTheme="minorEastAsia" w:hAnsiTheme="minorEastAsia" w:eastAsiaTheme="minorEastAsia" w:cstheme="minorEastAsia"/>
          <w:w w:val="95"/>
        </w:rPr>
        <w:t>（款</w:t>
      </w:r>
      <w:r>
        <w:rPr>
          <w:rFonts w:hint="eastAsia" w:asciiTheme="minorEastAsia" w:hAnsiTheme="minorEastAsia" w:eastAsiaTheme="minorEastAsia" w:cstheme="minorEastAsia"/>
          <w:spacing w:val="-5"/>
          <w:w w:val="95"/>
        </w:rPr>
        <w:t>）</w:t>
      </w:r>
      <w:r>
        <w:rPr>
          <w:rFonts w:hint="eastAsia" w:asciiTheme="minorEastAsia" w:hAnsiTheme="minorEastAsia" w:eastAsiaTheme="minorEastAsia" w:cstheme="minorEastAsia"/>
          <w:w w:val="95"/>
        </w:rPr>
        <w:t>对村民委员会和村党支部的补助</w:t>
      </w:r>
      <w:r>
        <w:rPr>
          <w:rFonts w:hint="eastAsia" w:asciiTheme="minorEastAsia" w:hAnsiTheme="minorEastAsia" w:eastAsiaTheme="minorEastAsia" w:cstheme="minorEastAsia"/>
        </w:rPr>
        <w:t>（项）。</w:t>
      </w:r>
    </w:p>
    <w:p>
      <w:pPr>
        <w:pStyle w:val="6"/>
        <w:spacing w:before="2" w:line="350" w:lineRule="auto"/>
        <w:ind w:right="464" w:firstLine="584"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14"/>
        </w:rPr>
        <w:t xml:space="preserve">年初预算为 </w:t>
      </w:r>
      <w:r>
        <w:rPr>
          <w:rFonts w:hint="eastAsia" w:asciiTheme="minorEastAsia" w:hAnsiTheme="minorEastAsia" w:eastAsiaTheme="minorEastAsia" w:cstheme="minorEastAsia"/>
          <w:lang w:val="en-US" w:eastAsia="zh-CN"/>
        </w:rPr>
        <w:t>631</w:t>
      </w:r>
      <w:r>
        <w:rPr>
          <w:rFonts w:hint="eastAsia" w:asciiTheme="minorEastAsia" w:hAnsiTheme="minorEastAsia" w:eastAsiaTheme="minorEastAsia" w:cstheme="minorEastAsia"/>
          <w:spacing w:val="-17"/>
        </w:rPr>
        <w:t>万元，支出决算为</w:t>
      </w:r>
      <w:r>
        <w:rPr>
          <w:rFonts w:hint="eastAsia" w:asciiTheme="minorEastAsia" w:hAnsiTheme="minorEastAsia" w:eastAsiaTheme="minorEastAsia" w:cstheme="minorEastAsia"/>
          <w:spacing w:val="-17"/>
          <w:lang w:val="en-US" w:eastAsia="zh-CN"/>
        </w:rPr>
        <w:t>631</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spacing w:val="-9"/>
        </w:rPr>
        <w:t>万元，完成年初</w:t>
      </w:r>
      <w:r>
        <w:rPr>
          <w:rFonts w:hint="eastAsia" w:asciiTheme="minorEastAsia" w:hAnsiTheme="minorEastAsia" w:eastAsiaTheme="minorEastAsia" w:cstheme="minorEastAsia"/>
          <w:spacing w:val="-26"/>
        </w:rPr>
        <w:t xml:space="preserve">预算的 </w:t>
      </w:r>
      <w:r>
        <w:rPr>
          <w:rFonts w:hint="eastAsia" w:asciiTheme="minorEastAsia" w:hAnsiTheme="minorEastAsia" w:eastAsiaTheme="minorEastAsia" w:cstheme="minorEastAsia"/>
          <w:lang w:eastAsia="zh-CN"/>
        </w:rPr>
        <w:t>100</w:t>
      </w:r>
      <w:r>
        <w:rPr>
          <w:rFonts w:hint="eastAsia" w:asciiTheme="minorEastAsia" w:hAnsiTheme="minorEastAsia" w:eastAsiaTheme="minorEastAsia" w:cstheme="minorEastAsia"/>
        </w:rPr>
        <w:t>%。</w:t>
      </w:r>
    </w:p>
    <w:p>
      <w:pPr>
        <w:pStyle w:val="6"/>
        <w:spacing w:before="2" w:line="350" w:lineRule="auto"/>
        <w:ind w:right="464" w:firstLine="604"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1"/>
          <w:w w:val="95"/>
          <w:lang w:val="en-US" w:eastAsia="zh-CN"/>
        </w:rPr>
        <w:t>16</w:t>
      </w:r>
      <w:r>
        <w:rPr>
          <w:rFonts w:hint="eastAsia" w:asciiTheme="minorEastAsia" w:hAnsiTheme="minorEastAsia" w:eastAsiaTheme="minorEastAsia" w:cstheme="minorEastAsia"/>
          <w:spacing w:val="-1"/>
          <w:w w:val="95"/>
          <w:lang w:eastAsia="zh-CN"/>
        </w:rPr>
        <w:t>、</w:t>
      </w:r>
      <w:r>
        <w:rPr>
          <w:rFonts w:hint="eastAsia" w:asciiTheme="minorEastAsia" w:hAnsiTheme="minorEastAsia" w:eastAsiaTheme="minorEastAsia" w:cstheme="minorEastAsia"/>
          <w:spacing w:val="-1"/>
          <w:w w:val="95"/>
        </w:rPr>
        <w:t>农林水支出</w:t>
      </w:r>
      <w:r>
        <w:rPr>
          <w:rFonts w:hint="eastAsia" w:asciiTheme="minorEastAsia" w:hAnsiTheme="minorEastAsia" w:eastAsiaTheme="minorEastAsia" w:cstheme="minorEastAsia"/>
          <w:w w:val="95"/>
        </w:rPr>
        <w:t>（类</w:t>
      </w:r>
      <w:r>
        <w:rPr>
          <w:rFonts w:hint="eastAsia" w:asciiTheme="minorEastAsia" w:hAnsiTheme="minorEastAsia" w:eastAsiaTheme="minorEastAsia" w:cstheme="minorEastAsia"/>
          <w:spacing w:val="-7"/>
          <w:w w:val="95"/>
        </w:rPr>
        <w:t>）</w:t>
      </w:r>
      <w:r>
        <w:rPr>
          <w:rFonts w:hint="eastAsia" w:asciiTheme="minorEastAsia" w:hAnsiTheme="minorEastAsia" w:eastAsiaTheme="minorEastAsia" w:cstheme="minorEastAsia"/>
          <w:spacing w:val="-2"/>
          <w:w w:val="95"/>
        </w:rPr>
        <w:t>农村综合改革</w:t>
      </w:r>
      <w:r>
        <w:rPr>
          <w:rFonts w:hint="eastAsia" w:asciiTheme="minorEastAsia" w:hAnsiTheme="minorEastAsia" w:eastAsiaTheme="minorEastAsia" w:cstheme="minorEastAsia"/>
          <w:w w:val="95"/>
        </w:rPr>
        <w:t>（款</w:t>
      </w:r>
      <w:r>
        <w:rPr>
          <w:rFonts w:hint="eastAsia" w:asciiTheme="minorEastAsia" w:hAnsiTheme="minorEastAsia" w:eastAsiaTheme="minorEastAsia" w:cstheme="minorEastAsia"/>
          <w:spacing w:val="-5"/>
          <w:w w:val="95"/>
        </w:rPr>
        <w:t>）</w:t>
      </w:r>
      <w:r>
        <w:rPr>
          <w:rFonts w:hint="eastAsia" w:asciiTheme="minorEastAsia" w:hAnsiTheme="minorEastAsia" w:eastAsiaTheme="minorEastAsia" w:cstheme="minorEastAsia"/>
          <w:w w:val="95"/>
        </w:rPr>
        <w:t>对村集体经济组织的补助</w:t>
      </w:r>
      <w:r>
        <w:rPr>
          <w:rFonts w:hint="eastAsia" w:asciiTheme="minorEastAsia" w:hAnsiTheme="minorEastAsia" w:eastAsiaTheme="minorEastAsia" w:cstheme="minorEastAsia"/>
        </w:rPr>
        <w:t>（项）。</w:t>
      </w:r>
    </w:p>
    <w:p>
      <w:pPr>
        <w:pStyle w:val="6"/>
        <w:spacing w:before="2" w:line="350" w:lineRule="auto"/>
        <w:ind w:right="464" w:firstLine="584"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spacing w:val="-14"/>
        </w:rPr>
        <w:t xml:space="preserve">年初预算为 </w:t>
      </w:r>
      <w:r>
        <w:rPr>
          <w:rFonts w:hint="eastAsia" w:asciiTheme="minorEastAsia" w:hAnsiTheme="minorEastAsia" w:eastAsiaTheme="minorEastAsia" w:cstheme="minorEastAsia"/>
          <w:lang w:eastAsia="zh-CN"/>
        </w:rPr>
        <w:t>100</w:t>
      </w:r>
      <w:r>
        <w:rPr>
          <w:rFonts w:hint="eastAsia" w:asciiTheme="minorEastAsia" w:hAnsiTheme="minorEastAsia" w:eastAsiaTheme="minorEastAsia" w:cstheme="minorEastAsia"/>
          <w:spacing w:val="-17"/>
        </w:rPr>
        <w:t xml:space="preserve">万元，支出决算为 </w:t>
      </w:r>
      <w:r>
        <w:rPr>
          <w:rFonts w:hint="eastAsia" w:asciiTheme="minorEastAsia" w:hAnsiTheme="minorEastAsia" w:eastAsiaTheme="minorEastAsia" w:cstheme="minorEastAsia"/>
          <w:lang w:eastAsia="zh-CN"/>
        </w:rPr>
        <w:t>100</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spacing w:val="-9"/>
        </w:rPr>
        <w:t>万元，完成年初</w:t>
      </w:r>
      <w:r>
        <w:rPr>
          <w:rFonts w:hint="eastAsia" w:asciiTheme="minorEastAsia" w:hAnsiTheme="minorEastAsia" w:eastAsiaTheme="minorEastAsia" w:cstheme="minorEastAsia"/>
          <w:spacing w:val="-26"/>
        </w:rPr>
        <w:t xml:space="preserve">预算的 </w:t>
      </w:r>
      <w:r>
        <w:rPr>
          <w:rFonts w:hint="eastAsia" w:asciiTheme="minorEastAsia" w:hAnsiTheme="minorEastAsia" w:eastAsiaTheme="minorEastAsia" w:cstheme="minorEastAsia"/>
          <w:lang w:eastAsia="zh-CN"/>
        </w:rPr>
        <w:t>100</w:t>
      </w:r>
      <w:r>
        <w:rPr>
          <w:rFonts w:hint="eastAsia" w:asciiTheme="minorEastAsia" w:hAnsiTheme="minorEastAsia" w:eastAsiaTheme="minorEastAsia" w:cstheme="minorEastAsia"/>
        </w:rPr>
        <w:t>%。</w:t>
      </w:r>
    </w:p>
    <w:p>
      <w:pPr>
        <w:pStyle w:val="6"/>
        <w:spacing w:before="3"/>
        <w:ind w:firstLine="64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lang w:eastAsia="zh-CN"/>
        </w:rPr>
        <w:t>1</w:t>
      </w:r>
      <w:r>
        <w:rPr>
          <w:rFonts w:hint="eastAsia" w:asciiTheme="minorEastAsia" w:hAnsiTheme="minorEastAsia" w:eastAsiaTheme="minorEastAsia" w:cstheme="minorEastAsia"/>
          <w:lang w:val="en-US" w:eastAsia="zh-CN"/>
        </w:rPr>
        <w:t>7</w:t>
      </w:r>
      <w:r>
        <w:rPr>
          <w:rFonts w:hint="eastAsia" w:asciiTheme="minorEastAsia" w:hAnsiTheme="minorEastAsia" w:eastAsiaTheme="minorEastAsia" w:cstheme="minorEastAsia"/>
        </w:rPr>
        <w:t>、住房保障支出（类）住房改革支出（款）住房公积金</w:t>
      </w:r>
    </w:p>
    <w:p>
      <w:pPr>
        <w:pStyle w:val="6"/>
        <w:spacing w:before="190"/>
        <w:ind w:left="108" w:firstLine="64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（项）。</w:t>
      </w:r>
    </w:p>
    <w:p>
      <w:pPr>
        <w:pStyle w:val="6"/>
        <w:spacing w:before="189" w:line="350" w:lineRule="auto"/>
        <w:ind w:right="346" w:firstLine="64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年初预算为</w:t>
      </w:r>
      <w:r>
        <w:rPr>
          <w:rFonts w:hint="eastAsia" w:asciiTheme="minorEastAsia" w:hAnsiTheme="minorEastAsia" w:eastAsiaTheme="minorEastAsia" w:cstheme="minorEastAsia"/>
          <w:lang w:val="en-US" w:eastAsia="zh-CN"/>
        </w:rPr>
        <w:t>137</w:t>
      </w:r>
      <w:r>
        <w:rPr>
          <w:rFonts w:hint="eastAsia" w:asciiTheme="minorEastAsia" w:hAnsiTheme="minorEastAsia" w:eastAsiaTheme="minorEastAsia" w:cstheme="minorEastAsia"/>
        </w:rPr>
        <w:t>万元，支出决算为</w:t>
      </w:r>
      <w:r>
        <w:rPr>
          <w:rFonts w:hint="eastAsia" w:asciiTheme="minorEastAsia" w:hAnsiTheme="minorEastAsia" w:eastAsiaTheme="minorEastAsia" w:cstheme="minorEastAsia"/>
          <w:lang w:val="en-US" w:eastAsia="zh-CN"/>
        </w:rPr>
        <w:t>137</w:t>
      </w:r>
      <w:r>
        <w:rPr>
          <w:rFonts w:hint="eastAsia" w:asciiTheme="minorEastAsia" w:hAnsiTheme="minorEastAsia" w:eastAsiaTheme="minorEastAsia" w:cstheme="minorEastAsia"/>
        </w:rPr>
        <w:t>万元，完成年初预算的</w:t>
      </w:r>
      <w:r>
        <w:rPr>
          <w:rFonts w:hint="eastAsia" w:asciiTheme="minorEastAsia" w:hAnsiTheme="minorEastAsia" w:eastAsiaTheme="minorEastAsia" w:cstheme="minorEastAsia"/>
          <w:lang w:eastAsia="zh-CN"/>
        </w:rPr>
        <w:t>100</w:t>
      </w:r>
      <w:r>
        <w:rPr>
          <w:rFonts w:hint="eastAsia" w:asciiTheme="minorEastAsia" w:hAnsiTheme="minorEastAsia" w:eastAsiaTheme="minorEastAsia" w:cstheme="minorEastAsia"/>
        </w:rPr>
        <w:t>%。</w:t>
      </w:r>
    </w:p>
    <w:p>
      <w:pPr>
        <w:pStyle w:val="6"/>
        <w:spacing w:before="7" w:line="350" w:lineRule="auto"/>
        <w:ind w:right="346" w:firstLine="64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18、</w:t>
      </w:r>
      <w:r>
        <w:rPr>
          <w:rFonts w:hint="eastAsia" w:asciiTheme="minorEastAsia" w:hAnsiTheme="minorEastAsia" w:eastAsiaTheme="minorEastAsia" w:cstheme="minorEastAsia"/>
          <w:spacing w:val="3"/>
          <w:w w:val="95"/>
        </w:rPr>
        <w:t>教育支出</w:t>
      </w:r>
      <w:r>
        <w:rPr>
          <w:rFonts w:hint="eastAsia" w:asciiTheme="minorEastAsia" w:hAnsiTheme="minorEastAsia" w:eastAsiaTheme="minorEastAsia" w:cstheme="minorEastAsia"/>
          <w:spacing w:val="5"/>
          <w:w w:val="95"/>
        </w:rPr>
        <w:t>（类）</w:t>
      </w:r>
      <w:r>
        <w:rPr>
          <w:rFonts w:hint="eastAsia" w:asciiTheme="minorEastAsia" w:hAnsiTheme="minorEastAsia" w:eastAsiaTheme="minorEastAsia" w:cstheme="minorEastAsia"/>
          <w:spacing w:val="3"/>
          <w:w w:val="95"/>
        </w:rPr>
        <w:t>职业教育</w:t>
      </w:r>
      <w:r>
        <w:rPr>
          <w:rFonts w:hint="eastAsia" w:asciiTheme="minorEastAsia" w:hAnsiTheme="minorEastAsia" w:eastAsiaTheme="minorEastAsia" w:cstheme="minorEastAsia"/>
          <w:spacing w:val="5"/>
          <w:w w:val="95"/>
        </w:rPr>
        <w:t>（款）</w:t>
      </w:r>
      <w:r>
        <w:rPr>
          <w:rFonts w:hint="eastAsia" w:asciiTheme="minorEastAsia" w:hAnsiTheme="minorEastAsia" w:eastAsiaTheme="minorEastAsia" w:cstheme="minorEastAsia"/>
          <w:spacing w:val="5"/>
          <w:w w:val="95"/>
          <w:lang w:eastAsia="zh-CN"/>
        </w:rPr>
        <w:t>中等职业教育</w:t>
      </w:r>
      <w:r>
        <w:rPr>
          <w:rFonts w:hint="eastAsia" w:asciiTheme="minorEastAsia" w:hAnsiTheme="minorEastAsia" w:eastAsiaTheme="minorEastAsia" w:cstheme="minorEastAsia"/>
          <w:spacing w:val="2"/>
        </w:rPr>
        <w:t>（项）。</w:t>
      </w:r>
    </w:p>
    <w:p>
      <w:pPr>
        <w:pStyle w:val="6"/>
        <w:spacing w:before="2" w:line="350" w:lineRule="auto"/>
        <w:ind w:right="466" w:firstLine="584" w:firstLineChars="200"/>
        <w:jc w:val="both"/>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spacing w:val="-14"/>
        </w:rPr>
        <w:t>年初预算为</w:t>
      </w:r>
      <w:r>
        <w:rPr>
          <w:rFonts w:hint="eastAsia" w:asciiTheme="minorEastAsia" w:hAnsiTheme="minorEastAsia" w:eastAsiaTheme="minorEastAsia" w:cstheme="minorEastAsia"/>
          <w:spacing w:val="-14"/>
          <w:lang w:val="en-US" w:eastAsia="zh-CN"/>
        </w:rPr>
        <w:t>1521</w:t>
      </w:r>
      <w:r>
        <w:rPr>
          <w:rFonts w:hint="eastAsia" w:asciiTheme="minorEastAsia" w:hAnsiTheme="minorEastAsia" w:eastAsiaTheme="minorEastAsia" w:cstheme="minorEastAsia"/>
          <w:spacing w:val="-17"/>
        </w:rPr>
        <w:t>万元，支出决算为</w:t>
      </w:r>
      <w:r>
        <w:rPr>
          <w:rFonts w:hint="eastAsia" w:asciiTheme="minorEastAsia" w:hAnsiTheme="minorEastAsia" w:eastAsiaTheme="minorEastAsia" w:cstheme="minorEastAsia"/>
          <w:spacing w:val="-14"/>
          <w:lang w:val="en-US" w:eastAsia="zh-CN"/>
        </w:rPr>
        <w:t>1521</w:t>
      </w: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spacing w:val="-9"/>
        </w:rPr>
        <w:t>万元，完成年初</w:t>
      </w:r>
      <w:r>
        <w:rPr>
          <w:rFonts w:hint="eastAsia" w:asciiTheme="minorEastAsia" w:hAnsiTheme="minorEastAsia" w:eastAsiaTheme="minorEastAsia" w:cstheme="minorEastAsia"/>
          <w:spacing w:val="-26"/>
        </w:rPr>
        <w:t xml:space="preserve">预算的 </w:t>
      </w:r>
      <w:r>
        <w:rPr>
          <w:rFonts w:hint="eastAsia" w:asciiTheme="minorEastAsia" w:hAnsiTheme="minorEastAsia" w:eastAsiaTheme="minorEastAsia" w:cstheme="minorEastAsia"/>
          <w:lang w:eastAsia="zh-CN"/>
        </w:rPr>
        <w:t>100</w:t>
      </w:r>
      <w:r>
        <w:rPr>
          <w:rFonts w:hint="eastAsia" w:asciiTheme="minorEastAsia" w:hAnsiTheme="minorEastAsia" w:eastAsiaTheme="minorEastAsia" w:cstheme="minorEastAsia"/>
        </w:rPr>
        <w:t>%。</w:t>
      </w:r>
    </w:p>
    <w:p>
      <w:pPr>
        <w:pStyle w:val="6"/>
        <w:spacing w:before="190"/>
        <w:ind w:left="747"/>
        <w:rPr>
          <w:rFonts w:ascii="黑体" w:eastAsia="黑体"/>
        </w:rPr>
      </w:pPr>
      <w:r>
        <w:rPr>
          <w:rFonts w:hint="eastAsia" w:ascii="黑体" w:eastAsia="黑体"/>
        </w:rPr>
        <w:t>六、一般公共预算财政拨款基本支出决算情况说明</w:t>
      </w:r>
    </w:p>
    <w:p>
      <w:pPr>
        <w:pStyle w:val="6"/>
        <w:spacing w:before="41" w:line="351" w:lineRule="auto"/>
        <w:ind w:left="108" w:right="181" w:firstLine="620" w:firstLineChars="200"/>
        <w:rPr>
          <w:rFonts w:hint="eastAsia" w:asciiTheme="minorEastAsia" w:hAnsiTheme="minorEastAsia" w:eastAsiaTheme="minorEastAsia" w:cstheme="minorEastAsia"/>
          <w:spacing w:val="-5"/>
          <w:sz w:val="32"/>
          <w:szCs w:val="32"/>
        </w:rPr>
      </w:pPr>
      <w:r>
        <w:rPr>
          <w:rFonts w:hint="eastAsia" w:asciiTheme="minorEastAsia" w:hAnsiTheme="minorEastAsia" w:eastAsiaTheme="minorEastAsia" w:cstheme="minorEastAsia"/>
          <w:spacing w:val="-5"/>
          <w:sz w:val="32"/>
          <w:szCs w:val="32"/>
          <w:lang w:eastAsia="zh-CN"/>
        </w:rPr>
        <w:t>2020年</w:t>
      </w:r>
      <w:r>
        <w:rPr>
          <w:rFonts w:hint="eastAsia" w:asciiTheme="minorEastAsia" w:hAnsiTheme="minorEastAsia" w:eastAsiaTheme="minorEastAsia" w:cstheme="minorEastAsia"/>
          <w:spacing w:val="-5"/>
          <w:sz w:val="32"/>
          <w:szCs w:val="32"/>
        </w:rPr>
        <w:t>财政拨款支出按用途划，基本支出16，856万元，其中人员经费10，301.6万元，占总支出的57.48%；日常公用经费支出6，554.4万元，占总支出的36.57%。项目支出1，067万元，占总支出的5.95%。</w:t>
      </w:r>
    </w:p>
    <w:p>
      <w:pPr>
        <w:pStyle w:val="6"/>
        <w:spacing w:before="9"/>
        <w:ind w:left="747"/>
        <w:rPr>
          <w:rFonts w:ascii="黑体" w:eastAsia="黑体"/>
        </w:rPr>
      </w:pPr>
      <w:r>
        <w:rPr>
          <w:rFonts w:hint="eastAsia" w:ascii="黑体" w:eastAsia="黑体"/>
        </w:rPr>
        <w:t>七、一般公共预算财政拨款三公经费支出决算情况说明</w:t>
      </w:r>
    </w:p>
    <w:p>
      <w:pPr>
        <w:pStyle w:val="5"/>
        <w:spacing w:before="84"/>
      </w:pPr>
      <w:r>
        <w:t>（一）</w:t>
      </w:r>
      <w:r>
        <w:rPr>
          <w:rFonts w:ascii="Times New Roman" w:hAnsi="Times New Roman" w:eastAsia="Times New Roman"/>
        </w:rPr>
        <w:t>“</w:t>
      </w:r>
      <w:r>
        <w:t>三公</w:t>
      </w:r>
      <w:r>
        <w:rPr>
          <w:rFonts w:ascii="Times New Roman" w:hAnsi="Times New Roman" w:eastAsia="Times New Roman"/>
        </w:rPr>
        <w:t>”</w:t>
      </w:r>
      <w:r>
        <w:t>经费财政拨款支出决算总体情况说明</w:t>
      </w:r>
    </w:p>
    <w:p>
      <w:pPr>
        <w:pStyle w:val="6"/>
        <w:spacing w:before="117"/>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“三公”经费财政拨款</w:t>
      </w:r>
      <w:r>
        <w:rPr>
          <w:rFonts w:hint="eastAsia" w:asciiTheme="minorEastAsia" w:hAnsiTheme="minorEastAsia" w:eastAsiaTheme="minorEastAsia" w:cstheme="minorEastAsia"/>
          <w:sz w:val="32"/>
          <w:szCs w:val="32"/>
          <w:lang w:eastAsia="zh-CN"/>
        </w:rPr>
        <w:t>支出预算</w:t>
      </w:r>
      <w:r>
        <w:rPr>
          <w:rFonts w:hint="eastAsia" w:asciiTheme="minorEastAsia" w:hAnsiTheme="minorEastAsia" w:eastAsiaTheme="minorEastAsia" w:cstheme="minorEastAsia"/>
          <w:sz w:val="32"/>
          <w:szCs w:val="32"/>
          <w:lang w:val="en-US" w:eastAsia="zh-CN"/>
        </w:rPr>
        <w:t>50</w:t>
      </w:r>
      <w:r>
        <w:rPr>
          <w:rFonts w:hint="eastAsia" w:asciiTheme="minorEastAsia" w:hAnsiTheme="minorEastAsia" w:eastAsiaTheme="minorEastAsia" w:cstheme="minorEastAsia"/>
          <w:sz w:val="32"/>
          <w:szCs w:val="32"/>
          <w:lang w:eastAsia="zh-CN"/>
        </w:rPr>
        <w:t>万元，</w:t>
      </w:r>
      <w:r>
        <w:rPr>
          <w:rFonts w:hint="eastAsia" w:asciiTheme="minorEastAsia" w:hAnsiTheme="minorEastAsia" w:eastAsiaTheme="minorEastAsia" w:cstheme="minorEastAsia"/>
          <w:sz w:val="32"/>
          <w:szCs w:val="32"/>
        </w:rPr>
        <w:t>支出决算为</w:t>
      </w:r>
      <w:r>
        <w:rPr>
          <w:rFonts w:hint="eastAsia" w:asciiTheme="minorEastAsia" w:hAnsiTheme="minorEastAsia" w:eastAsiaTheme="minorEastAsia" w:cstheme="minorEastAsia"/>
          <w:sz w:val="32"/>
          <w:szCs w:val="32"/>
          <w:lang w:val="en-US" w:eastAsia="zh-CN"/>
        </w:rPr>
        <w:t>24</w:t>
      </w:r>
      <w:r>
        <w:rPr>
          <w:rFonts w:hint="eastAsia" w:asciiTheme="minorEastAsia" w:hAnsiTheme="minorEastAsia" w:eastAsiaTheme="minorEastAsia" w:cstheme="minorEastAsia"/>
          <w:sz w:val="32"/>
          <w:szCs w:val="32"/>
        </w:rPr>
        <w:t>万元</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完成预算的</w:t>
      </w:r>
      <w:r>
        <w:rPr>
          <w:rFonts w:hint="eastAsia" w:asciiTheme="minorEastAsia" w:hAnsiTheme="minorEastAsia" w:eastAsiaTheme="minorEastAsia" w:cstheme="minorEastAsia"/>
          <w:sz w:val="32"/>
          <w:szCs w:val="32"/>
          <w:lang w:val="en-US" w:eastAsia="zh-CN"/>
        </w:rPr>
        <w:t>48</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与去年</w:t>
      </w:r>
      <w:r>
        <w:rPr>
          <w:rFonts w:hint="eastAsia" w:asciiTheme="minorEastAsia" w:hAnsiTheme="minorEastAsia" w:eastAsiaTheme="minorEastAsia" w:cstheme="minorEastAsia"/>
          <w:sz w:val="32"/>
          <w:szCs w:val="32"/>
          <w:lang w:val="en-US" w:eastAsia="zh-CN"/>
        </w:rPr>
        <w:t>23.9</w:t>
      </w:r>
      <w:r>
        <w:rPr>
          <w:rFonts w:hint="eastAsia" w:asciiTheme="minorEastAsia" w:hAnsiTheme="minorEastAsia" w:eastAsiaTheme="minorEastAsia" w:cstheme="minorEastAsia"/>
          <w:sz w:val="32"/>
          <w:szCs w:val="32"/>
        </w:rPr>
        <w:t>万元相比</w:t>
      </w:r>
      <w:r>
        <w:rPr>
          <w:rFonts w:hint="eastAsia" w:asciiTheme="minorEastAsia" w:hAnsiTheme="minorEastAsia" w:eastAsiaTheme="minorEastAsia" w:cstheme="minorEastAsia"/>
          <w:sz w:val="32"/>
          <w:szCs w:val="32"/>
          <w:lang w:eastAsia="zh-CN"/>
        </w:rPr>
        <w:t>增长</w:t>
      </w:r>
      <w:r>
        <w:rPr>
          <w:rFonts w:hint="eastAsia" w:asciiTheme="minorEastAsia" w:hAnsiTheme="minorEastAsia" w:eastAsiaTheme="minorEastAsia" w:cstheme="minorEastAsia"/>
          <w:sz w:val="32"/>
          <w:szCs w:val="32"/>
          <w:lang w:val="en-US" w:eastAsia="zh-CN"/>
        </w:rPr>
        <w:t>0.42</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eastAsia="zh-CN"/>
        </w:rPr>
        <w:t>，与上年基本持平，具体情况如下</w:t>
      </w:r>
      <w:r>
        <w:rPr>
          <w:rFonts w:hint="eastAsia" w:asciiTheme="minorEastAsia" w:hAnsiTheme="minorEastAsia" w:eastAsiaTheme="minorEastAsia" w:cstheme="minorEastAsia"/>
          <w:sz w:val="32"/>
          <w:szCs w:val="32"/>
        </w:rPr>
        <w:t>：</w:t>
      </w:r>
    </w:p>
    <w:p>
      <w:pPr>
        <w:pStyle w:val="6"/>
        <w:spacing w:before="190"/>
        <w:ind w:left="108" w:firstLine="608"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w w:val="95"/>
          <w:sz w:val="32"/>
          <w:szCs w:val="32"/>
          <w:lang w:eastAsia="zh-CN"/>
        </w:rPr>
        <w:t>1、</w:t>
      </w:r>
      <w:r>
        <w:rPr>
          <w:rFonts w:hint="eastAsia" w:asciiTheme="minorEastAsia" w:hAnsiTheme="minorEastAsia" w:eastAsiaTheme="minorEastAsia" w:cstheme="minorEastAsia"/>
          <w:sz w:val="32"/>
          <w:szCs w:val="32"/>
          <w:highlight w:val="none"/>
        </w:rPr>
        <w:t>因公出国（境）费</w:t>
      </w:r>
      <w:r>
        <w:rPr>
          <w:rFonts w:hint="eastAsia" w:asciiTheme="minorEastAsia" w:hAnsiTheme="minorEastAsia" w:eastAsiaTheme="minorEastAsia" w:cstheme="minorEastAsia"/>
          <w:color w:val="auto"/>
          <w:sz w:val="32"/>
          <w:szCs w:val="32"/>
          <w:highlight w:val="none"/>
          <w:lang w:eastAsia="zh-CN"/>
        </w:rPr>
        <w:t>支出预算为</w:t>
      </w:r>
      <w:r>
        <w:rPr>
          <w:rFonts w:hint="eastAsia" w:asciiTheme="minorEastAsia" w:hAnsiTheme="minorEastAsia" w:eastAsiaTheme="minorEastAsia" w:cstheme="minorEastAsia"/>
          <w:color w:val="auto"/>
          <w:sz w:val="32"/>
          <w:szCs w:val="32"/>
          <w:highlight w:val="none"/>
          <w:lang w:val="en-US" w:eastAsia="zh-CN"/>
        </w:rPr>
        <w:t>0万元，支出决算为0万元</w:t>
      </w:r>
      <w:r>
        <w:rPr>
          <w:rFonts w:hint="eastAsia" w:asciiTheme="minorEastAsia" w:hAnsiTheme="minorEastAsia" w:eastAsiaTheme="minorEastAsia" w:cstheme="minorEastAsia"/>
          <w:color w:val="auto"/>
          <w:sz w:val="32"/>
          <w:szCs w:val="32"/>
          <w:highlight w:val="none"/>
          <w:lang w:eastAsia="zh-CN"/>
        </w:rPr>
        <w:t>。</w:t>
      </w:r>
    </w:p>
    <w:p>
      <w:pPr>
        <w:pStyle w:val="6"/>
        <w:spacing w:before="4" w:line="350" w:lineRule="auto"/>
        <w:ind w:left="108" w:right="346" w:firstLine="638"/>
        <w:jc w:val="both"/>
        <w:rPr>
          <w:rFonts w:hint="eastAsia" w:asciiTheme="minorEastAsia" w:hAnsiTheme="minorEastAsia" w:eastAsiaTheme="minorEastAsia" w:cstheme="minorEastAsia"/>
          <w:w w:val="95"/>
          <w:sz w:val="32"/>
          <w:szCs w:val="32"/>
        </w:rPr>
      </w:pPr>
      <w:r>
        <w:rPr>
          <w:rFonts w:hint="eastAsia" w:asciiTheme="minorEastAsia" w:hAnsiTheme="minorEastAsia" w:eastAsiaTheme="minorEastAsia" w:cstheme="minorEastAsia"/>
          <w:w w:val="95"/>
          <w:sz w:val="32"/>
          <w:szCs w:val="32"/>
          <w:lang w:eastAsia="zh-CN"/>
        </w:rPr>
        <w:t>2、</w:t>
      </w:r>
      <w:r>
        <w:rPr>
          <w:rFonts w:hint="eastAsia" w:asciiTheme="minorEastAsia" w:hAnsiTheme="minorEastAsia" w:eastAsiaTheme="minorEastAsia" w:cstheme="minorEastAsia"/>
          <w:w w:val="95"/>
          <w:sz w:val="32"/>
          <w:szCs w:val="32"/>
        </w:rPr>
        <w:t>公务用车购置及运行维护费支出</w:t>
      </w:r>
      <w:r>
        <w:rPr>
          <w:rFonts w:hint="eastAsia" w:asciiTheme="minorEastAsia" w:hAnsiTheme="minorEastAsia" w:eastAsiaTheme="minorEastAsia" w:cstheme="minorEastAsia"/>
          <w:w w:val="95"/>
          <w:sz w:val="32"/>
          <w:szCs w:val="32"/>
          <w:lang w:eastAsia="zh-CN"/>
        </w:rPr>
        <w:t>预算为</w:t>
      </w:r>
      <w:r>
        <w:rPr>
          <w:rFonts w:hint="eastAsia" w:asciiTheme="minorEastAsia" w:hAnsiTheme="minorEastAsia" w:eastAsiaTheme="minorEastAsia" w:cstheme="minorEastAsia"/>
          <w:w w:val="95"/>
          <w:sz w:val="32"/>
          <w:szCs w:val="32"/>
          <w:lang w:val="en-US" w:eastAsia="zh-CN"/>
        </w:rPr>
        <w:t>20万元，支出决算为12</w:t>
      </w:r>
      <w:r>
        <w:rPr>
          <w:rFonts w:hint="eastAsia" w:asciiTheme="minorEastAsia" w:hAnsiTheme="minorEastAsia" w:eastAsiaTheme="minorEastAsia" w:cstheme="minorEastAsia"/>
          <w:w w:val="95"/>
          <w:sz w:val="32"/>
          <w:szCs w:val="32"/>
        </w:rPr>
        <w:t>万元</w:t>
      </w:r>
      <w:r>
        <w:rPr>
          <w:rFonts w:hint="eastAsia" w:asciiTheme="minorEastAsia" w:hAnsiTheme="minorEastAsia" w:eastAsiaTheme="minorEastAsia" w:cstheme="minorEastAsia"/>
          <w:w w:val="95"/>
          <w:sz w:val="32"/>
          <w:szCs w:val="32"/>
          <w:lang w:eastAsia="zh-CN"/>
        </w:rPr>
        <w:t>，完成预算的</w:t>
      </w:r>
      <w:r>
        <w:rPr>
          <w:rFonts w:hint="eastAsia" w:asciiTheme="minorEastAsia" w:hAnsiTheme="minorEastAsia" w:eastAsiaTheme="minorEastAsia" w:cstheme="minorEastAsia"/>
          <w:w w:val="95"/>
          <w:sz w:val="32"/>
          <w:szCs w:val="32"/>
          <w:lang w:val="en-US" w:eastAsia="zh-CN"/>
        </w:rPr>
        <w:t>60%。</w:t>
      </w:r>
      <w:r>
        <w:rPr>
          <w:rFonts w:hint="eastAsia" w:asciiTheme="minorEastAsia" w:hAnsiTheme="minorEastAsia" w:eastAsiaTheme="minorEastAsia" w:cstheme="minorEastAsia"/>
          <w:w w:val="95"/>
          <w:sz w:val="32"/>
          <w:szCs w:val="32"/>
        </w:rPr>
        <w:t>具体是：公务车保有量2辆，</w:t>
      </w:r>
      <w:r>
        <w:rPr>
          <w:rFonts w:hint="eastAsia" w:asciiTheme="minorEastAsia" w:hAnsiTheme="minorEastAsia" w:eastAsiaTheme="minorEastAsia" w:cstheme="minorEastAsia"/>
          <w:w w:val="95"/>
          <w:sz w:val="32"/>
          <w:szCs w:val="32"/>
          <w:highlight w:val="none"/>
          <w:lang w:eastAsia="zh-CN"/>
        </w:rPr>
        <w:t>全年</w:t>
      </w:r>
      <w:r>
        <w:rPr>
          <w:rFonts w:hint="eastAsia" w:asciiTheme="minorEastAsia" w:hAnsiTheme="minorEastAsia" w:eastAsiaTheme="minorEastAsia" w:cstheme="minorEastAsia"/>
          <w:w w:val="95"/>
          <w:sz w:val="32"/>
          <w:szCs w:val="32"/>
          <w:highlight w:val="none"/>
        </w:rPr>
        <w:t>公务用车购置</w:t>
      </w:r>
      <w:r>
        <w:rPr>
          <w:rFonts w:hint="eastAsia" w:asciiTheme="minorEastAsia" w:hAnsiTheme="minorEastAsia" w:eastAsiaTheme="minorEastAsia" w:cstheme="minorEastAsia"/>
          <w:w w:val="95"/>
          <w:sz w:val="32"/>
          <w:szCs w:val="32"/>
          <w:highlight w:val="none"/>
          <w:lang w:eastAsia="zh-CN"/>
        </w:rPr>
        <w:t>支出0万元，</w:t>
      </w:r>
      <w:r>
        <w:rPr>
          <w:rFonts w:hint="eastAsia" w:asciiTheme="minorEastAsia" w:hAnsiTheme="minorEastAsia" w:eastAsiaTheme="minorEastAsia" w:cstheme="minorEastAsia"/>
          <w:w w:val="95"/>
          <w:sz w:val="32"/>
          <w:szCs w:val="32"/>
        </w:rPr>
        <w:t>全年运行维护费支出</w:t>
      </w:r>
      <w:r>
        <w:rPr>
          <w:rFonts w:hint="eastAsia" w:asciiTheme="minorEastAsia" w:hAnsiTheme="minorEastAsia" w:eastAsiaTheme="minorEastAsia" w:cstheme="minorEastAsia"/>
          <w:w w:val="95"/>
          <w:sz w:val="32"/>
          <w:szCs w:val="32"/>
          <w:lang w:val="en-US" w:eastAsia="zh-CN"/>
        </w:rPr>
        <w:t>12</w:t>
      </w:r>
      <w:r>
        <w:rPr>
          <w:rFonts w:hint="eastAsia" w:asciiTheme="minorEastAsia" w:hAnsiTheme="minorEastAsia" w:eastAsiaTheme="minorEastAsia" w:cstheme="minorEastAsia"/>
          <w:w w:val="95"/>
          <w:sz w:val="32"/>
          <w:szCs w:val="32"/>
        </w:rPr>
        <w:t>万元。公车主要用于本镇信访工作和安全生产等突发性工作的用车。</w:t>
      </w:r>
    </w:p>
    <w:p>
      <w:pPr>
        <w:pStyle w:val="6"/>
        <w:spacing w:before="4" w:line="350" w:lineRule="auto"/>
        <w:ind w:left="108" w:right="346" w:firstLine="638"/>
        <w:jc w:val="both"/>
        <w:rPr>
          <w:w w:val="95"/>
          <w:lang w:eastAsia="zh-CN"/>
        </w:rPr>
      </w:pPr>
      <w:r>
        <w:rPr>
          <w:rFonts w:hint="eastAsia" w:asciiTheme="minorEastAsia" w:hAnsiTheme="minorEastAsia" w:eastAsiaTheme="minorEastAsia" w:cstheme="minorEastAsia"/>
          <w:w w:val="95"/>
          <w:sz w:val="32"/>
          <w:szCs w:val="32"/>
          <w:lang w:eastAsia="zh-CN"/>
        </w:rPr>
        <w:t>3、</w:t>
      </w:r>
      <w:r>
        <w:rPr>
          <w:rFonts w:hint="eastAsia" w:asciiTheme="minorEastAsia" w:hAnsiTheme="minorEastAsia" w:eastAsiaTheme="minorEastAsia" w:cstheme="minorEastAsia"/>
          <w:w w:val="95"/>
          <w:sz w:val="32"/>
          <w:szCs w:val="32"/>
          <w:highlight w:val="none"/>
        </w:rPr>
        <w:t>公务接待费支出</w:t>
      </w:r>
      <w:r>
        <w:rPr>
          <w:rFonts w:hint="eastAsia" w:asciiTheme="minorEastAsia" w:hAnsiTheme="minorEastAsia" w:eastAsiaTheme="minorEastAsia" w:cstheme="minorEastAsia"/>
          <w:w w:val="95"/>
          <w:sz w:val="32"/>
          <w:szCs w:val="32"/>
          <w:highlight w:val="none"/>
          <w:lang w:eastAsia="zh-CN"/>
        </w:rPr>
        <w:t>预算为</w:t>
      </w:r>
      <w:r>
        <w:rPr>
          <w:rFonts w:hint="eastAsia" w:asciiTheme="minorEastAsia" w:hAnsiTheme="minorEastAsia" w:eastAsiaTheme="minorEastAsia" w:cstheme="minorEastAsia"/>
          <w:w w:val="95"/>
          <w:sz w:val="32"/>
          <w:szCs w:val="32"/>
          <w:highlight w:val="none"/>
          <w:lang w:val="en-US" w:eastAsia="zh-CN"/>
        </w:rPr>
        <w:t>30万元，支出决算为12</w:t>
      </w:r>
      <w:r>
        <w:rPr>
          <w:rFonts w:hint="eastAsia" w:asciiTheme="minorEastAsia" w:hAnsiTheme="minorEastAsia" w:eastAsiaTheme="minorEastAsia" w:cstheme="minorEastAsia"/>
          <w:w w:val="95"/>
          <w:sz w:val="32"/>
          <w:szCs w:val="32"/>
          <w:highlight w:val="none"/>
        </w:rPr>
        <w:t>万元，</w:t>
      </w:r>
      <w:r>
        <w:rPr>
          <w:rFonts w:hint="eastAsia" w:asciiTheme="minorEastAsia" w:hAnsiTheme="minorEastAsia" w:eastAsiaTheme="minorEastAsia" w:cstheme="minorEastAsia"/>
          <w:w w:val="95"/>
          <w:sz w:val="32"/>
          <w:szCs w:val="32"/>
          <w:highlight w:val="none"/>
          <w:lang w:eastAsia="zh-CN"/>
        </w:rPr>
        <w:t>完成预算的</w:t>
      </w:r>
      <w:r>
        <w:rPr>
          <w:rFonts w:hint="eastAsia" w:asciiTheme="minorEastAsia" w:hAnsiTheme="minorEastAsia" w:eastAsiaTheme="minorEastAsia" w:cstheme="minorEastAsia"/>
          <w:w w:val="95"/>
          <w:sz w:val="32"/>
          <w:szCs w:val="32"/>
          <w:highlight w:val="none"/>
          <w:lang w:val="en-US" w:eastAsia="zh-CN"/>
        </w:rPr>
        <w:t>40%。</w:t>
      </w:r>
      <w:r>
        <w:rPr>
          <w:rFonts w:hint="eastAsia" w:asciiTheme="minorEastAsia" w:hAnsiTheme="minorEastAsia" w:eastAsiaTheme="minorEastAsia" w:cstheme="minorEastAsia"/>
          <w:w w:val="95"/>
          <w:sz w:val="32"/>
          <w:szCs w:val="32"/>
        </w:rPr>
        <w:t>主要用全镇村干部会议招待费和市级各部门调研</w:t>
      </w:r>
      <w:r>
        <w:rPr>
          <w:rFonts w:hint="eastAsia" w:asciiTheme="minorEastAsia" w:hAnsiTheme="minorEastAsia" w:eastAsiaTheme="minorEastAsia" w:cstheme="minorEastAsia"/>
          <w:w w:val="95"/>
          <w:sz w:val="32"/>
          <w:szCs w:val="32"/>
          <w:lang w:eastAsia="zh-CN"/>
        </w:rPr>
        <w:t>。</w:t>
      </w:r>
    </w:p>
    <w:p>
      <w:pPr>
        <w:pStyle w:val="5"/>
        <w:spacing w:line="487" w:lineRule="exact"/>
      </w:pPr>
      <w:r>
        <w:t>（二）</w:t>
      </w:r>
      <w:r>
        <w:rPr>
          <w:rFonts w:ascii="Times New Roman" w:hAnsi="Times New Roman" w:eastAsia="Times New Roman"/>
        </w:rPr>
        <w:t>“</w:t>
      </w:r>
      <w:r>
        <w:t>三公</w:t>
      </w:r>
      <w:r>
        <w:rPr>
          <w:rFonts w:ascii="Times New Roman" w:hAnsi="Times New Roman" w:eastAsia="Times New Roman"/>
        </w:rPr>
        <w:t>”</w:t>
      </w:r>
      <w:r>
        <w:t>经费财政拨款支出决算具体情况说明</w:t>
      </w:r>
    </w:p>
    <w:p>
      <w:pPr>
        <w:pStyle w:val="6"/>
        <w:spacing w:before="41" w:line="351" w:lineRule="auto"/>
        <w:ind w:left="108" w:right="346"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2020年</w:t>
      </w:r>
      <w:r>
        <w:rPr>
          <w:rFonts w:hint="eastAsia" w:asciiTheme="minorEastAsia" w:hAnsiTheme="minorEastAsia" w:eastAsiaTheme="minorEastAsia" w:cstheme="minorEastAsia"/>
          <w:sz w:val="32"/>
          <w:szCs w:val="32"/>
        </w:rPr>
        <w:t>度“三公”经费财政拨款支出决算中，公务接待费支出决算</w:t>
      </w:r>
      <w:r>
        <w:rPr>
          <w:rFonts w:hint="eastAsia" w:asciiTheme="minorEastAsia" w:hAnsiTheme="minorEastAsia" w:eastAsiaTheme="minorEastAsia" w:cstheme="minorEastAsia"/>
          <w:w w:val="95"/>
          <w:sz w:val="32"/>
          <w:szCs w:val="32"/>
          <w:lang w:val="en-US" w:eastAsia="zh-CN"/>
        </w:rPr>
        <w:t>12</w:t>
      </w:r>
      <w:r>
        <w:rPr>
          <w:rFonts w:hint="eastAsia" w:asciiTheme="minorEastAsia" w:hAnsiTheme="minorEastAsia" w:eastAsiaTheme="minorEastAsia" w:cstheme="minorEastAsia"/>
          <w:sz w:val="32"/>
          <w:szCs w:val="32"/>
        </w:rPr>
        <w:t>万元，占</w:t>
      </w:r>
      <w:r>
        <w:rPr>
          <w:rFonts w:hint="eastAsia" w:asciiTheme="minorEastAsia" w:hAnsiTheme="minorEastAsia" w:eastAsiaTheme="minorEastAsia" w:cstheme="minorEastAsia"/>
          <w:sz w:val="32"/>
          <w:szCs w:val="32"/>
          <w:lang w:val="en-US" w:eastAsia="zh-CN"/>
        </w:rPr>
        <w:t>50</w:t>
      </w: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公务用车购置费及运行维护费支出决算</w:t>
      </w:r>
      <w:r>
        <w:rPr>
          <w:rFonts w:hint="eastAsia" w:asciiTheme="minorEastAsia" w:hAnsiTheme="minorEastAsia" w:eastAsiaTheme="minorEastAsia" w:cstheme="minorEastAsia"/>
          <w:sz w:val="32"/>
          <w:szCs w:val="32"/>
          <w:lang w:val="en-US" w:eastAsia="zh-CN"/>
        </w:rPr>
        <w:t>12</w:t>
      </w:r>
      <w:r>
        <w:rPr>
          <w:rFonts w:hint="eastAsia" w:asciiTheme="minorEastAsia" w:hAnsiTheme="minorEastAsia" w:eastAsiaTheme="minorEastAsia" w:cstheme="minorEastAsia"/>
          <w:sz w:val="32"/>
          <w:szCs w:val="32"/>
        </w:rPr>
        <w:t>万元，占</w:t>
      </w:r>
      <w:r>
        <w:rPr>
          <w:rFonts w:hint="eastAsia" w:asciiTheme="minorEastAsia" w:hAnsiTheme="minorEastAsia" w:eastAsiaTheme="minorEastAsia" w:cstheme="minorEastAsia"/>
          <w:sz w:val="32"/>
          <w:szCs w:val="32"/>
          <w:lang w:val="en-US" w:eastAsia="zh-CN"/>
        </w:rPr>
        <w:t>50</w:t>
      </w:r>
      <w:r>
        <w:rPr>
          <w:rFonts w:hint="eastAsia" w:asciiTheme="minorEastAsia" w:hAnsiTheme="minorEastAsia" w:eastAsiaTheme="minorEastAsia" w:cstheme="minorEastAsia"/>
          <w:sz w:val="32"/>
          <w:szCs w:val="32"/>
        </w:rPr>
        <w:t>%。其中：</w:t>
      </w:r>
    </w:p>
    <w:p>
      <w:pPr>
        <w:pStyle w:val="6"/>
        <w:spacing w:before="4" w:line="350" w:lineRule="auto"/>
        <w:ind w:left="108" w:right="346" w:firstLine="638"/>
        <w:jc w:val="both"/>
        <w:rPr>
          <w:rFonts w:hint="eastAsia" w:asciiTheme="minorEastAsia" w:hAnsiTheme="minorEastAsia" w:eastAsiaTheme="minorEastAsia" w:cstheme="minorEastAsia"/>
          <w:w w:val="95"/>
          <w:sz w:val="32"/>
          <w:szCs w:val="32"/>
        </w:rPr>
      </w:pPr>
      <w:r>
        <w:rPr>
          <w:rFonts w:hint="eastAsia" w:asciiTheme="minorEastAsia" w:hAnsiTheme="minorEastAsia" w:eastAsiaTheme="minorEastAsia" w:cstheme="minorEastAsia"/>
          <w:w w:val="95"/>
          <w:sz w:val="32"/>
          <w:szCs w:val="32"/>
          <w:lang w:eastAsia="zh-CN"/>
        </w:rPr>
        <w:t>1、</w:t>
      </w:r>
      <w:r>
        <w:rPr>
          <w:rFonts w:hint="eastAsia" w:asciiTheme="minorEastAsia" w:hAnsiTheme="minorEastAsia" w:eastAsiaTheme="minorEastAsia" w:cstheme="minorEastAsia"/>
          <w:w w:val="95"/>
          <w:sz w:val="32"/>
          <w:szCs w:val="32"/>
        </w:rPr>
        <w:t>因公出国（境）费无支出；</w:t>
      </w:r>
    </w:p>
    <w:p>
      <w:pPr>
        <w:pStyle w:val="6"/>
        <w:spacing w:before="4" w:line="350" w:lineRule="auto"/>
        <w:ind w:left="108" w:right="346" w:firstLine="638"/>
        <w:jc w:val="both"/>
        <w:rPr>
          <w:rFonts w:hint="eastAsia" w:asciiTheme="minorEastAsia" w:hAnsiTheme="minorEastAsia" w:eastAsiaTheme="minorEastAsia" w:cstheme="minorEastAsia"/>
          <w:w w:val="95"/>
          <w:sz w:val="32"/>
          <w:szCs w:val="32"/>
        </w:rPr>
      </w:pPr>
      <w:r>
        <w:rPr>
          <w:rFonts w:hint="eastAsia" w:asciiTheme="minorEastAsia" w:hAnsiTheme="minorEastAsia" w:eastAsiaTheme="minorEastAsia" w:cstheme="minorEastAsia"/>
          <w:w w:val="95"/>
          <w:sz w:val="32"/>
          <w:szCs w:val="32"/>
          <w:lang w:eastAsia="zh-CN"/>
        </w:rPr>
        <w:t>2、</w:t>
      </w:r>
      <w:r>
        <w:rPr>
          <w:rFonts w:hint="eastAsia" w:asciiTheme="minorEastAsia" w:hAnsiTheme="minorEastAsia" w:eastAsiaTheme="minorEastAsia" w:cstheme="minorEastAsia"/>
          <w:w w:val="95"/>
          <w:sz w:val="32"/>
          <w:szCs w:val="32"/>
        </w:rPr>
        <w:t>公务用车购置及运行维护费支出</w:t>
      </w:r>
      <w:r>
        <w:rPr>
          <w:rFonts w:hint="eastAsia" w:asciiTheme="minorEastAsia" w:hAnsiTheme="minorEastAsia" w:eastAsiaTheme="minorEastAsia" w:cstheme="minorEastAsia"/>
          <w:w w:val="95"/>
          <w:sz w:val="32"/>
          <w:szCs w:val="32"/>
          <w:lang w:val="en-US" w:eastAsia="zh-CN"/>
        </w:rPr>
        <w:t>12</w:t>
      </w:r>
      <w:r>
        <w:rPr>
          <w:rFonts w:hint="eastAsia" w:asciiTheme="minorEastAsia" w:hAnsiTheme="minorEastAsia" w:eastAsiaTheme="minorEastAsia" w:cstheme="minorEastAsia"/>
          <w:w w:val="95"/>
          <w:sz w:val="32"/>
          <w:szCs w:val="32"/>
        </w:rPr>
        <w:t>万元，具体是：公务车保有量2辆，全年运行维护费支出</w:t>
      </w:r>
      <w:r>
        <w:rPr>
          <w:rFonts w:hint="eastAsia" w:asciiTheme="minorEastAsia" w:hAnsiTheme="minorEastAsia" w:eastAsiaTheme="minorEastAsia" w:cstheme="minorEastAsia"/>
          <w:w w:val="95"/>
          <w:sz w:val="32"/>
          <w:szCs w:val="32"/>
          <w:lang w:val="en-US" w:eastAsia="zh-CN"/>
        </w:rPr>
        <w:t>12</w:t>
      </w:r>
      <w:r>
        <w:rPr>
          <w:rFonts w:hint="eastAsia" w:asciiTheme="minorEastAsia" w:hAnsiTheme="minorEastAsia" w:eastAsiaTheme="minorEastAsia" w:cstheme="minorEastAsia"/>
          <w:w w:val="95"/>
          <w:sz w:val="32"/>
          <w:szCs w:val="32"/>
        </w:rPr>
        <w:t>万元。公车主要用于本镇信访工作和安全生产等突发性工作的用车。</w:t>
      </w:r>
    </w:p>
    <w:p>
      <w:pPr>
        <w:pStyle w:val="6"/>
        <w:spacing w:before="4" w:line="350" w:lineRule="auto"/>
        <w:ind w:left="108" w:right="346" w:firstLine="638"/>
        <w:jc w:val="both"/>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w w:val="95"/>
          <w:sz w:val="32"/>
          <w:szCs w:val="32"/>
          <w:lang w:eastAsia="zh-CN"/>
        </w:rPr>
        <w:t>3、</w:t>
      </w:r>
      <w:r>
        <w:rPr>
          <w:rFonts w:hint="eastAsia" w:asciiTheme="minorEastAsia" w:hAnsiTheme="minorEastAsia" w:eastAsiaTheme="minorEastAsia" w:cstheme="minorEastAsia"/>
          <w:w w:val="95"/>
          <w:sz w:val="32"/>
          <w:szCs w:val="32"/>
        </w:rPr>
        <w:t>公务接待费支出12万元，</w:t>
      </w:r>
      <w:r>
        <w:rPr>
          <w:rFonts w:hint="eastAsia" w:asciiTheme="minorEastAsia" w:hAnsiTheme="minorEastAsia" w:eastAsiaTheme="minorEastAsia" w:cstheme="minorEastAsia"/>
          <w:w w:val="95"/>
          <w:sz w:val="32"/>
          <w:szCs w:val="32"/>
          <w:highlight w:val="none"/>
        </w:rPr>
        <w:t>国内公务接待</w:t>
      </w:r>
      <w:r>
        <w:rPr>
          <w:rFonts w:hint="eastAsia" w:asciiTheme="minorEastAsia" w:hAnsiTheme="minorEastAsia" w:eastAsiaTheme="minorEastAsia" w:cstheme="minorEastAsia"/>
          <w:w w:val="95"/>
          <w:sz w:val="32"/>
          <w:szCs w:val="32"/>
          <w:highlight w:val="none"/>
          <w:lang w:val="en-US" w:eastAsia="zh-CN"/>
        </w:rPr>
        <w:t>1500</w:t>
      </w:r>
      <w:r>
        <w:rPr>
          <w:rFonts w:hint="eastAsia" w:asciiTheme="minorEastAsia" w:hAnsiTheme="minorEastAsia" w:eastAsiaTheme="minorEastAsia" w:cstheme="minorEastAsia"/>
          <w:w w:val="95"/>
          <w:sz w:val="32"/>
          <w:szCs w:val="32"/>
          <w:highlight w:val="none"/>
        </w:rPr>
        <w:t>批次、国内公务接待</w:t>
      </w:r>
      <w:r>
        <w:rPr>
          <w:rFonts w:hint="eastAsia" w:asciiTheme="minorEastAsia" w:hAnsiTheme="minorEastAsia" w:eastAsiaTheme="minorEastAsia" w:cstheme="minorEastAsia"/>
          <w:w w:val="95"/>
          <w:sz w:val="32"/>
          <w:szCs w:val="32"/>
          <w:highlight w:val="none"/>
          <w:lang w:val="en-US" w:eastAsia="zh-CN"/>
        </w:rPr>
        <w:t>3500</w:t>
      </w:r>
      <w:r>
        <w:rPr>
          <w:rFonts w:hint="eastAsia" w:asciiTheme="minorEastAsia" w:hAnsiTheme="minorEastAsia" w:eastAsiaTheme="minorEastAsia" w:cstheme="minorEastAsia"/>
          <w:w w:val="95"/>
          <w:sz w:val="32"/>
          <w:szCs w:val="32"/>
          <w:highlight w:val="none"/>
        </w:rPr>
        <w:t>人数</w:t>
      </w:r>
      <w:r>
        <w:rPr>
          <w:rFonts w:hint="eastAsia" w:asciiTheme="minorEastAsia" w:hAnsiTheme="minorEastAsia" w:eastAsiaTheme="minorEastAsia" w:cstheme="minorEastAsia"/>
          <w:w w:val="95"/>
          <w:sz w:val="32"/>
          <w:szCs w:val="32"/>
        </w:rPr>
        <w:t>。主要用全镇村干部会议招待费和市级各部门调研</w:t>
      </w:r>
      <w:r>
        <w:rPr>
          <w:rFonts w:hint="eastAsia" w:asciiTheme="minorEastAsia" w:hAnsiTheme="minorEastAsia" w:eastAsiaTheme="minorEastAsia" w:cstheme="minorEastAsia"/>
          <w:w w:val="95"/>
          <w:sz w:val="32"/>
          <w:szCs w:val="32"/>
          <w:lang w:eastAsia="zh-CN"/>
        </w:rPr>
        <w:t>。</w:t>
      </w:r>
    </w:p>
    <w:p>
      <w:pPr>
        <w:pStyle w:val="6"/>
        <w:spacing w:before="190"/>
        <w:ind w:left="747"/>
        <w:rPr>
          <w:rFonts w:ascii="黑体" w:eastAsia="黑体"/>
        </w:rPr>
      </w:pPr>
      <w:r>
        <w:rPr>
          <w:rFonts w:hint="eastAsia" w:ascii="黑体" w:eastAsia="黑体"/>
        </w:rPr>
        <w:t>八、政府性基金预算收入支出决算情况</w:t>
      </w:r>
    </w:p>
    <w:p>
      <w:pPr>
        <w:pStyle w:val="6"/>
        <w:spacing w:before="190"/>
        <w:ind w:firstLine="640" w:firstLineChars="200"/>
        <w:rPr>
          <w:rFonts w:hint="eastAsia" w:asciiTheme="minorEastAsia" w:hAnsiTheme="minorEastAsia" w:eastAsiaTheme="minorEastAsia" w:cstheme="minorEastAsia"/>
          <w:sz w:val="32"/>
          <w:szCs w:val="32"/>
          <w:highlight w:val="none"/>
        </w:rPr>
      </w:pPr>
      <w:r>
        <w:rPr>
          <w:rFonts w:hint="eastAsia" w:asciiTheme="minorEastAsia" w:hAnsiTheme="minorEastAsia" w:eastAsiaTheme="minorEastAsia" w:cstheme="minorEastAsia"/>
          <w:sz w:val="32"/>
          <w:szCs w:val="32"/>
          <w:highlight w:val="none"/>
          <w:lang w:eastAsia="zh-CN"/>
        </w:rPr>
        <w:t>2020年</w:t>
      </w:r>
      <w:r>
        <w:rPr>
          <w:rFonts w:hint="eastAsia" w:asciiTheme="minorEastAsia" w:hAnsiTheme="minorEastAsia" w:eastAsiaTheme="minorEastAsia" w:cstheme="minorEastAsia"/>
          <w:sz w:val="32"/>
          <w:szCs w:val="32"/>
          <w:highlight w:val="none"/>
        </w:rPr>
        <w:t>政府性基金收入3091万元，政府性基金预算财政拨款支出3091万元，主要用失地农民生活补贴</w:t>
      </w:r>
      <w:r>
        <w:rPr>
          <w:rFonts w:hint="eastAsia" w:asciiTheme="minorEastAsia" w:hAnsiTheme="minorEastAsia" w:eastAsiaTheme="minorEastAsia" w:cstheme="minorEastAsia"/>
          <w:sz w:val="32"/>
          <w:szCs w:val="32"/>
          <w:highlight w:val="none"/>
          <w:lang w:eastAsia="zh-CN"/>
        </w:rPr>
        <w:t>。与上年持平。</w:t>
      </w:r>
    </w:p>
    <w:p>
      <w:pPr>
        <w:pStyle w:val="6"/>
        <w:spacing w:before="190"/>
        <w:ind w:left="747"/>
        <w:rPr>
          <w:rFonts w:ascii="黑体" w:eastAsia="黑体"/>
        </w:rPr>
      </w:pPr>
      <w:r>
        <w:rPr>
          <w:rFonts w:hint="eastAsia" w:ascii="黑体" w:eastAsia="黑体"/>
        </w:rPr>
        <w:t>九、关于</w:t>
      </w:r>
      <w:r>
        <w:rPr>
          <w:rFonts w:hint="eastAsia" w:ascii="Times New Roman"/>
          <w:lang w:eastAsia="zh-CN"/>
        </w:rPr>
        <w:t>2020年</w:t>
      </w:r>
      <w:r>
        <w:rPr>
          <w:rFonts w:hint="eastAsia" w:ascii="黑体" w:eastAsia="黑体"/>
        </w:rPr>
        <w:t>度预算绩效情况说明</w:t>
      </w:r>
    </w:p>
    <w:p>
      <w:pPr>
        <w:pStyle w:val="6"/>
        <w:spacing w:before="41" w:line="351" w:lineRule="auto"/>
        <w:ind w:left="108" w:right="465" w:firstLine="640" w:firstLineChars="200"/>
        <w:jc w:val="both"/>
        <w:rPr>
          <w:rFonts w:hint="eastAsia"/>
          <w:lang w:eastAsia="zh-CN"/>
        </w:rPr>
      </w:pPr>
      <w:r>
        <w:rPr>
          <w:rFonts w:hint="eastAsia"/>
        </w:rPr>
        <w:t>根据预算绩效管理要求，对</w:t>
      </w:r>
      <w:r>
        <w:rPr>
          <w:rFonts w:hint="eastAsia"/>
          <w:lang w:eastAsia="zh-CN"/>
        </w:rPr>
        <w:t>2020年</w:t>
      </w:r>
      <w:r>
        <w:rPr>
          <w:rFonts w:hint="eastAsia"/>
        </w:rPr>
        <w:t>度一般公共预算项目支出全面开展绩效自评，共涉及资金 0 万元，占一般公共预算项目支出总额的 0 %；对</w:t>
      </w:r>
      <w:r>
        <w:rPr>
          <w:rFonts w:hint="eastAsia"/>
          <w:lang w:eastAsia="zh-CN"/>
        </w:rPr>
        <w:t>2020年</w:t>
      </w:r>
      <w:r>
        <w:rPr>
          <w:rFonts w:hint="eastAsia"/>
        </w:rPr>
        <w:t>度政府性基金预算项目支出开展绩效自评，共涉及资金  0 万元，占政府性基金预算项目支出总额的 0 %。</w:t>
      </w:r>
    </w:p>
    <w:p>
      <w:pPr>
        <w:pStyle w:val="6"/>
        <w:spacing w:before="6"/>
        <w:ind w:left="747"/>
        <w:rPr>
          <w:rFonts w:ascii="黑体" w:eastAsia="黑体"/>
        </w:rPr>
      </w:pPr>
      <w:r>
        <w:rPr>
          <w:rFonts w:hint="eastAsia" w:ascii="黑体" w:eastAsia="黑体"/>
        </w:rPr>
        <w:t>十、其他重要事项情况说明</w:t>
      </w:r>
    </w:p>
    <w:p>
      <w:pPr>
        <w:pStyle w:val="5"/>
        <w:spacing w:before="84"/>
      </w:pPr>
      <w:r>
        <w:t>（一）机关运行经费支出情况</w:t>
      </w:r>
    </w:p>
    <w:p>
      <w:pPr>
        <w:pStyle w:val="6"/>
        <w:spacing w:before="190" w:line="351" w:lineRule="auto"/>
        <w:ind w:left="108" w:right="465" w:firstLine="640" w:firstLineChars="200"/>
        <w:jc w:val="both"/>
        <w:rPr>
          <w:highlight w:val="none"/>
        </w:rPr>
      </w:pPr>
      <w:r>
        <w:rPr>
          <w:rFonts w:hint="eastAsia"/>
          <w:lang w:eastAsia="zh-CN"/>
        </w:rPr>
        <w:t>2020年</w:t>
      </w:r>
      <w:r>
        <w:rPr>
          <w:rFonts w:hint="eastAsia"/>
        </w:rPr>
        <w:t>机关运行经费支出</w:t>
      </w:r>
      <w:r>
        <w:rPr>
          <w:rFonts w:hint="eastAsia"/>
          <w:lang w:val="en-US" w:eastAsia="zh-CN"/>
        </w:rPr>
        <w:t>6554.4</w:t>
      </w:r>
      <w:r>
        <w:rPr>
          <w:rFonts w:hint="eastAsia"/>
        </w:rPr>
        <w:t>万元</w:t>
      </w:r>
      <w:r>
        <w:rPr>
          <w:rFonts w:hint="eastAsia"/>
          <w:lang w:eastAsia="zh-CN"/>
        </w:rPr>
        <w:t>，</w:t>
      </w:r>
      <w:r>
        <w:rPr>
          <w:rFonts w:hint="eastAsia"/>
          <w:highlight w:val="none"/>
          <w:lang w:eastAsia="zh-CN"/>
        </w:rPr>
        <w:t>与上年相比增加</w:t>
      </w:r>
      <w:r>
        <w:rPr>
          <w:rFonts w:hint="eastAsia"/>
          <w:highlight w:val="none"/>
          <w:lang w:val="en-US" w:eastAsia="zh-CN"/>
        </w:rPr>
        <w:t>5894.4万元，</w:t>
      </w:r>
      <w:r>
        <w:rPr>
          <w:rFonts w:hint="eastAsia"/>
          <w:highlight w:val="none"/>
        </w:rPr>
        <w:t>变化原因：增加教育支出和卫生健康支出</w:t>
      </w:r>
      <w:r>
        <w:rPr>
          <w:rFonts w:hint="eastAsia"/>
          <w:highlight w:val="none"/>
          <w:lang w:eastAsia="zh-CN"/>
        </w:rPr>
        <w:t>。</w:t>
      </w:r>
    </w:p>
    <w:p>
      <w:pPr>
        <w:pStyle w:val="5"/>
        <w:spacing w:line="493" w:lineRule="exact"/>
      </w:pPr>
      <w:r>
        <w:t>（</w:t>
      </w:r>
      <w:r>
        <w:rPr>
          <w:rFonts w:hint="eastAsia" w:eastAsia="宋体"/>
          <w:lang w:eastAsia="zh-CN"/>
        </w:rPr>
        <w:t>二</w:t>
      </w:r>
      <w:r>
        <w:t>）政府采购支出情况</w:t>
      </w:r>
    </w:p>
    <w:p>
      <w:pPr>
        <w:pStyle w:val="5"/>
        <w:spacing w:line="524" w:lineRule="exact"/>
        <w:ind w:left="0" w:firstLine="640" w:firstLineChars="200"/>
        <w:rPr>
          <w:rFonts w:hint="eastAsia" w:asciiTheme="minorEastAsia" w:hAnsiTheme="minorEastAsia" w:eastAsiaTheme="minorEastAsia" w:cstheme="minorEastAsia"/>
          <w:b w:val="0"/>
          <w:sz w:val="32"/>
          <w:szCs w:val="32"/>
        </w:rPr>
      </w:pPr>
      <w:r>
        <w:rPr>
          <w:rFonts w:hint="eastAsia" w:asciiTheme="minorEastAsia" w:hAnsiTheme="minorEastAsia" w:eastAsiaTheme="minorEastAsia" w:cstheme="minorEastAsia"/>
          <w:b w:val="0"/>
          <w:bCs w:val="0"/>
          <w:sz w:val="32"/>
          <w:szCs w:val="32"/>
          <w:lang w:eastAsia="zh-CN"/>
        </w:rPr>
        <w:t>2020年</w:t>
      </w:r>
      <w:r>
        <w:rPr>
          <w:rFonts w:hint="eastAsia" w:asciiTheme="minorEastAsia" w:hAnsiTheme="minorEastAsia" w:eastAsiaTheme="minorEastAsia" w:cstheme="minorEastAsia"/>
          <w:b w:val="0"/>
          <w:bCs w:val="0"/>
          <w:sz w:val="32"/>
          <w:szCs w:val="32"/>
        </w:rPr>
        <w:t>政府采购预算办公费</w:t>
      </w:r>
      <w:r>
        <w:rPr>
          <w:rFonts w:hint="eastAsia" w:asciiTheme="minorEastAsia" w:hAnsiTheme="minorEastAsia" w:eastAsiaTheme="minorEastAsia" w:cstheme="minorEastAsia"/>
          <w:b w:val="0"/>
          <w:bCs w:val="0"/>
          <w:sz w:val="32"/>
          <w:szCs w:val="32"/>
          <w:lang w:val="en-US" w:eastAsia="zh-CN"/>
        </w:rPr>
        <w:t>50</w:t>
      </w:r>
      <w:r>
        <w:rPr>
          <w:rFonts w:hint="eastAsia" w:asciiTheme="minorEastAsia" w:hAnsiTheme="minorEastAsia" w:eastAsiaTheme="minorEastAsia" w:cstheme="minorEastAsia"/>
          <w:b w:val="0"/>
          <w:bCs w:val="0"/>
          <w:sz w:val="32"/>
          <w:szCs w:val="32"/>
        </w:rPr>
        <w:t>万元，办公服用品及打印机等耗材</w:t>
      </w:r>
      <w:r>
        <w:rPr>
          <w:rFonts w:hint="eastAsia" w:asciiTheme="minorEastAsia" w:hAnsiTheme="minorEastAsia" w:eastAsiaTheme="minorEastAsia" w:cstheme="minorEastAsia"/>
          <w:b w:val="0"/>
          <w:bCs w:val="0"/>
          <w:sz w:val="32"/>
          <w:szCs w:val="32"/>
          <w:lang w:val="en-US" w:eastAsia="zh-CN"/>
        </w:rPr>
        <w:t>50</w:t>
      </w:r>
      <w:r>
        <w:rPr>
          <w:rFonts w:hint="eastAsia" w:asciiTheme="minorEastAsia" w:hAnsiTheme="minorEastAsia" w:eastAsiaTheme="minorEastAsia" w:cstheme="minorEastAsia"/>
          <w:b w:val="0"/>
          <w:bCs w:val="0"/>
          <w:sz w:val="32"/>
          <w:szCs w:val="32"/>
        </w:rPr>
        <w:t>万元。</w:t>
      </w:r>
      <w:r>
        <w:rPr>
          <w:rFonts w:hint="eastAsia" w:asciiTheme="minorEastAsia" w:hAnsiTheme="minorEastAsia" w:eastAsiaTheme="minorEastAsia" w:cstheme="minorEastAsia"/>
          <w:b w:val="0"/>
          <w:bCs w:val="0"/>
          <w:sz w:val="32"/>
          <w:szCs w:val="32"/>
          <w:highlight w:val="none"/>
        </w:rPr>
        <w:t>其中：</w:t>
      </w:r>
      <w:r>
        <w:rPr>
          <w:rFonts w:hint="eastAsia" w:asciiTheme="minorEastAsia" w:hAnsiTheme="minorEastAsia" w:eastAsiaTheme="minorEastAsia" w:cstheme="minorEastAsia"/>
          <w:b w:val="0"/>
          <w:spacing w:val="-10"/>
          <w:sz w:val="32"/>
          <w:szCs w:val="32"/>
          <w:highlight w:val="none"/>
        </w:rPr>
        <w:t>政府采购货物支出</w:t>
      </w:r>
      <w:r>
        <w:rPr>
          <w:rFonts w:hint="eastAsia" w:asciiTheme="minorEastAsia" w:hAnsiTheme="minorEastAsia" w:eastAsiaTheme="minorEastAsia" w:cstheme="minorEastAsia"/>
          <w:b w:val="0"/>
          <w:spacing w:val="-10"/>
          <w:sz w:val="32"/>
          <w:szCs w:val="32"/>
          <w:highlight w:val="none"/>
          <w:lang w:val="en-US" w:eastAsia="zh-CN"/>
        </w:rPr>
        <w:t>50</w:t>
      </w:r>
      <w:r>
        <w:rPr>
          <w:rFonts w:hint="eastAsia" w:asciiTheme="minorEastAsia" w:hAnsiTheme="minorEastAsia" w:eastAsiaTheme="minorEastAsia" w:cstheme="minorEastAsia"/>
          <w:b w:val="0"/>
          <w:spacing w:val="-13"/>
          <w:sz w:val="32"/>
          <w:szCs w:val="32"/>
          <w:highlight w:val="none"/>
        </w:rPr>
        <w:t xml:space="preserve">万元、政府采购服务支出 </w:t>
      </w:r>
      <w:r>
        <w:rPr>
          <w:rFonts w:hint="eastAsia" w:asciiTheme="minorEastAsia" w:hAnsiTheme="minorEastAsia" w:eastAsiaTheme="minorEastAsia" w:cstheme="minorEastAsia"/>
          <w:b w:val="0"/>
          <w:sz w:val="32"/>
          <w:szCs w:val="32"/>
          <w:highlight w:val="none"/>
        </w:rPr>
        <w:t>0万元、政府采购工程支出0万元。</w:t>
      </w:r>
      <w:r>
        <w:rPr>
          <w:rFonts w:hint="eastAsia" w:asciiTheme="minorEastAsia" w:hAnsiTheme="minorEastAsia" w:eastAsiaTheme="minorEastAsia" w:cstheme="minorEastAsia"/>
          <w:b w:val="0"/>
          <w:color w:val="000000"/>
          <w:sz w:val="32"/>
          <w:szCs w:val="32"/>
          <w:highlight w:val="none"/>
          <w:lang w:bidi="ar"/>
        </w:rPr>
        <w:t>授予中小企业合同金额0万元，占政府采购支出总额的0%，其中：授予小微企业合同金额0万元，占政府采购支出总额的0%。</w:t>
      </w:r>
    </w:p>
    <w:p>
      <w:pPr>
        <w:rPr>
          <w:lang w:eastAsia="zh-CN"/>
        </w:rPr>
      </w:pPr>
    </w:p>
    <w:p>
      <w:pPr>
        <w:pStyle w:val="5"/>
        <w:spacing w:line="524" w:lineRule="exact"/>
      </w:pPr>
      <w:r>
        <w:t>（</w:t>
      </w:r>
      <w:r>
        <w:rPr>
          <w:rFonts w:hint="eastAsia" w:eastAsia="宋体"/>
          <w:lang w:eastAsia="zh-CN"/>
        </w:rPr>
        <w:t>三</w:t>
      </w:r>
      <w:r>
        <w:t>）国有资产占用情况</w:t>
      </w:r>
    </w:p>
    <w:p>
      <w:pPr>
        <w:pStyle w:val="6"/>
        <w:spacing w:before="117" w:line="350" w:lineRule="auto"/>
        <w:ind w:left="108" w:right="344" w:firstLine="638"/>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截至</w:t>
      </w:r>
      <w:r>
        <w:rPr>
          <w:rFonts w:hint="eastAsia" w:asciiTheme="minorEastAsia" w:hAnsiTheme="minorEastAsia" w:eastAsiaTheme="minorEastAsia" w:cstheme="minorEastAsia"/>
          <w:sz w:val="32"/>
          <w:szCs w:val="32"/>
          <w:lang w:eastAsia="zh-CN"/>
        </w:rPr>
        <w:t>2020年</w:t>
      </w:r>
      <w:r>
        <w:rPr>
          <w:rFonts w:hint="eastAsia" w:asciiTheme="minorEastAsia" w:hAnsiTheme="minorEastAsia" w:eastAsiaTheme="minorEastAsia" w:cstheme="minorEastAsia"/>
          <w:sz w:val="32"/>
          <w:szCs w:val="32"/>
        </w:rPr>
        <w:t>12月31日，共有车辆  2辆，其中，单位价值50万元以上通用设备0台（套）；单位价值100万元以上专用设备 0台（套）。</w:t>
      </w:r>
    </w:p>
    <w:p>
      <w:pPr>
        <w:spacing w:line="350" w:lineRule="auto"/>
        <w:jc w:val="both"/>
        <w:rPr>
          <w:rFonts w:hint="eastAsia" w:asciiTheme="minorEastAsia" w:hAnsiTheme="minorEastAsia" w:eastAsiaTheme="minorEastAsia" w:cstheme="minorEastAsia"/>
          <w:sz w:val="32"/>
          <w:szCs w:val="32"/>
        </w:rPr>
        <w:sectPr>
          <w:footerReference r:id="rId8" w:type="default"/>
          <w:pgSz w:w="11910" w:h="16840"/>
          <w:pgMar w:top="1520" w:right="1240" w:bottom="1160" w:left="1480" w:header="0" w:footer="975" w:gutter="0"/>
          <w:pgBorders>
            <w:top w:val="none" w:sz="0" w:space="0"/>
            <w:left w:val="none" w:sz="0" w:space="0"/>
            <w:bottom w:val="none" w:sz="0" w:space="0"/>
            <w:right w:val="none" w:sz="0" w:space="0"/>
          </w:pgBorders>
          <w:cols w:space="720" w:num="1"/>
        </w:sect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spacing w:before="1"/>
        <w:rPr>
          <w:sz w:val="23"/>
        </w:rPr>
      </w:pPr>
    </w:p>
    <w:p>
      <w:pPr>
        <w:pStyle w:val="3"/>
        <w:spacing w:line="921" w:lineRule="exact"/>
      </w:pPr>
      <w:r>
        <w:t>第四部分</w:t>
      </w:r>
    </w:p>
    <w:p>
      <w:pPr>
        <w:pStyle w:val="6"/>
        <w:spacing w:before="11"/>
        <w:rPr>
          <w:rFonts w:ascii="黑体"/>
          <w:sz w:val="98"/>
        </w:rPr>
      </w:pPr>
    </w:p>
    <w:p>
      <w:pPr>
        <w:ind w:right="356"/>
        <w:jc w:val="center"/>
        <w:rPr>
          <w:sz w:val="76"/>
        </w:rPr>
      </w:pPr>
      <w:r>
        <w:rPr>
          <w:sz w:val="76"/>
        </w:rPr>
        <w:t>名 词 解 释</w:t>
      </w:r>
    </w:p>
    <w:p>
      <w:pPr>
        <w:jc w:val="center"/>
        <w:rPr>
          <w:sz w:val="76"/>
        </w:rPr>
        <w:sectPr>
          <w:pgSz w:w="11910" w:h="16840"/>
          <w:pgMar w:top="1580" w:right="1240" w:bottom="1160" w:left="1480" w:header="0" w:footer="975" w:gutter="0"/>
          <w:pgBorders>
            <w:top w:val="none" w:sz="0" w:space="0"/>
            <w:left w:val="none" w:sz="0" w:space="0"/>
            <w:bottom w:val="none" w:sz="0" w:space="0"/>
            <w:right w:val="none" w:sz="0" w:space="0"/>
          </w:pgBorders>
          <w:cols w:space="720" w:num="1"/>
        </w:sectPr>
      </w:pPr>
    </w:p>
    <w:p>
      <w:pPr>
        <w:pStyle w:val="6"/>
        <w:rPr>
          <w:sz w:val="20"/>
        </w:rPr>
      </w:pPr>
    </w:p>
    <w:p>
      <w:pPr>
        <w:pStyle w:val="6"/>
        <w:spacing w:before="1"/>
        <w:rPr>
          <w:sz w:val="21"/>
        </w:rPr>
      </w:pPr>
    </w:p>
    <w:p>
      <w:pPr>
        <w:pStyle w:val="6"/>
        <w:spacing w:before="55" w:line="350" w:lineRule="auto"/>
        <w:ind w:left="108" w:right="464" w:firstLine="638"/>
        <w:jc w:val="both"/>
      </w:pPr>
      <w:r>
        <w:rPr>
          <w:spacing w:val="-4"/>
        </w:rPr>
        <w:t>基本支出：指为保障机构正常运转、完成日常工作任务而发生的各项支出，包括人员支出和公用支出。</w:t>
      </w:r>
    </w:p>
    <w:p>
      <w:pPr>
        <w:pStyle w:val="6"/>
        <w:spacing w:before="3" w:line="350" w:lineRule="auto"/>
        <w:ind w:left="108" w:right="466" w:firstLine="638"/>
        <w:jc w:val="both"/>
      </w:pPr>
      <w:r>
        <w:rPr>
          <w:spacing w:val="-5"/>
        </w:rPr>
        <w:t>项目支出：指在基本支出以外为完成相关行政任务和事业发展目标所发生的各项支出。</w:t>
      </w:r>
    </w:p>
    <w:p>
      <w:pPr>
        <w:pStyle w:val="6"/>
        <w:spacing w:before="2" w:line="350" w:lineRule="auto"/>
        <w:ind w:left="108" w:right="466" w:firstLine="638"/>
        <w:jc w:val="both"/>
      </w:pPr>
      <w:r>
        <w:rPr>
          <w:rFonts w:ascii="Times New Roman" w:hAnsi="Times New Roman" w:eastAsia="Times New Roman"/>
        </w:rPr>
        <w:t>“</w:t>
      </w:r>
      <w:r>
        <w:t>三公</w:t>
      </w:r>
      <w:r>
        <w:rPr>
          <w:rFonts w:ascii="Times New Roman" w:hAnsi="Times New Roman" w:eastAsia="Times New Roman"/>
        </w:rPr>
        <w:t>”</w:t>
      </w:r>
      <w:r>
        <w:t>经费：指通过财政拨款资金安排的因公出国（境） 费、公务用车购置及运行费和公务接待费支出。</w:t>
      </w:r>
    </w:p>
    <w:p>
      <w:pPr>
        <w:pStyle w:val="6"/>
        <w:spacing w:before="3" w:line="350" w:lineRule="auto"/>
        <w:ind w:left="108" w:right="464" w:firstLine="638"/>
        <w:jc w:val="both"/>
      </w:pPr>
      <w:r>
        <w:rPr>
          <w:spacing w:val="-4"/>
        </w:rPr>
        <w:t>机关运行经费：是指各部门的公用经费，包括办公及印刷</w:t>
      </w:r>
      <w:r>
        <w:rPr>
          <w:spacing w:val="-5"/>
          <w:w w:val="95"/>
        </w:rPr>
        <w:t xml:space="preserve">费、邮电费、差旅费、会议费、福利费、日常维修费、专用材 </w:t>
      </w:r>
      <w:r>
        <w:rPr>
          <w:spacing w:val="-7"/>
          <w:w w:val="95"/>
        </w:rPr>
        <w:t xml:space="preserve">料及一般设备购置费、办公用房水电费、办公用房取暖费、办 </w:t>
      </w:r>
      <w:r>
        <w:rPr>
          <w:spacing w:val="-7"/>
        </w:rPr>
        <w:t>公用房物业管理费、公务用车运行维护费以及其他费用。</w:t>
      </w:r>
    </w:p>
    <w:p>
      <w:pPr>
        <w:spacing w:line="350" w:lineRule="auto"/>
        <w:jc w:val="both"/>
        <w:sectPr>
          <w:pgSz w:w="11910" w:h="16840"/>
          <w:pgMar w:top="1580" w:right="1240" w:bottom="1160" w:left="1480" w:header="0" w:footer="975" w:gutter="0"/>
          <w:pgBorders>
            <w:top w:val="none" w:sz="0" w:space="0"/>
            <w:left w:val="none" w:sz="0" w:space="0"/>
            <w:bottom w:val="none" w:sz="0" w:space="0"/>
            <w:right w:val="none" w:sz="0" w:space="0"/>
          </w:pgBorders>
          <w:cols w:space="720" w:num="1"/>
        </w:sect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spacing w:before="7"/>
        <w:rPr>
          <w:sz w:val="25"/>
        </w:rPr>
      </w:pPr>
    </w:p>
    <w:p>
      <w:pPr>
        <w:pStyle w:val="3"/>
      </w:pPr>
      <w:r>
        <w:t>第五部分</w:t>
      </w:r>
    </w:p>
    <w:p>
      <w:pPr>
        <w:pStyle w:val="6"/>
        <w:spacing w:before="11"/>
        <w:rPr>
          <w:rFonts w:ascii="黑体"/>
          <w:sz w:val="98"/>
        </w:rPr>
      </w:pPr>
    </w:p>
    <w:p>
      <w:pPr>
        <w:tabs>
          <w:tab w:val="left" w:pos="1521"/>
        </w:tabs>
        <w:ind w:right="357"/>
        <w:jc w:val="center"/>
        <w:rPr>
          <w:sz w:val="76"/>
        </w:rPr>
      </w:pPr>
      <w:r>
        <w:rPr>
          <w:sz w:val="76"/>
        </w:rPr>
        <w:t>附</w:t>
      </w:r>
      <w:r>
        <w:rPr>
          <w:sz w:val="76"/>
        </w:rPr>
        <w:tab/>
      </w:r>
      <w:r>
        <w:rPr>
          <w:sz w:val="76"/>
        </w:rPr>
        <w:t>件</w:t>
      </w:r>
    </w:p>
    <w:p>
      <w:pPr>
        <w:jc w:val="center"/>
        <w:rPr>
          <w:sz w:val="76"/>
        </w:rPr>
        <w:sectPr>
          <w:pgSz w:w="11910" w:h="16840"/>
          <w:pgMar w:top="1580" w:right="1240" w:bottom="1160" w:left="1480" w:header="0" w:footer="975" w:gutter="0"/>
          <w:pgBorders>
            <w:top w:val="none" w:sz="0" w:space="0"/>
            <w:left w:val="none" w:sz="0" w:space="0"/>
            <w:bottom w:val="none" w:sz="0" w:space="0"/>
            <w:right w:val="none" w:sz="0" w:space="0"/>
          </w:pgBorders>
          <w:cols w:space="720" w:num="1"/>
        </w:sect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spacing w:before="2"/>
        <w:rPr>
          <w:sz w:val="27"/>
        </w:rPr>
      </w:pPr>
    </w:p>
    <w:p>
      <w:pPr>
        <w:spacing w:before="137" w:line="336" w:lineRule="auto"/>
        <w:ind w:left="1747" w:right="2105"/>
        <w:jc w:val="center"/>
        <w:rPr>
          <w:sz w:val="52"/>
        </w:rPr>
      </w:pPr>
      <w:r>
        <w:rPr>
          <w:rFonts w:hint="eastAsia" w:ascii="Times New Roman"/>
          <w:sz w:val="52"/>
          <w:lang w:eastAsia="zh-CN"/>
        </w:rPr>
        <w:t>2020年</w:t>
      </w:r>
      <w:r>
        <w:rPr>
          <w:sz w:val="52"/>
        </w:rPr>
        <w:t>度部门整体支出绩效自评报告</w:t>
      </w:r>
    </w:p>
    <w:p>
      <w:pPr>
        <w:pStyle w:val="6"/>
        <w:rPr>
          <w:sz w:val="70"/>
        </w:rPr>
      </w:pPr>
    </w:p>
    <w:p>
      <w:pPr>
        <w:pStyle w:val="6"/>
        <w:rPr>
          <w:sz w:val="70"/>
        </w:rPr>
      </w:pPr>
    </w:p>
    <w:p>
      <w:pPr>
        <w:pStyle w:val="6"/>
        <w:rPr>
          <w:sz w:val="70"/>
        </w:rPr>
      </w:pPr>
    </w:p>
    <w:p>
      <w:pPr>
        <w:pStyle w:val="6"/>
        <w:rPr>
          <w:sz w:val="70"/>
        </w:rPr>
      </w:pPr>
    </w:p>
    <w:p>
      <w:pPr>
        <w:pStyle w:val="6"/>
        <w:rPr>
          <w:sz w:val="70"/>
        </w:rPr>
      </w:pPr>
    </w:p>
    <w:p>
      <w:pPr>
        <w:pStyle w:val="6"/>
        <w:rPr>
          <w:sz w:val="70"/>
        </w:rPr>
      </w:pPr>
    </w:p>
    <w:p>
      <w:pPr>
        <w:pStyle w:val="6"/>
        <w:rPr>
          <w:sz w:val="70"/>
        </w:rPr>
      </w:pPr>
    </w:p>
    <w:p>
      <w:pPr>
        <w:pStyle w:val="6"/>
        <w:spacing w:before="3"/>
        <w:rPr>
          <w:sz w:val="91"/>
        </w:rPr>
      </w:pPr>
    </w:p>
    <w:p>
      <w:pPr>
        <w:pStyle w:val="6"/>
        <w:ind w:right="360"/>
        <w:jc w:val="center"/>
        <w:sectPr>
          <w:pgSz w:w="11910" w:h="16840"/>
          <w:pgMar w:top="1580" w:right="1240" w:bottom="1160" w:left="1480" w:header="0" w:footer="975" w:gutter="0"/>
          <w:pgBorders>
            <w:top w:val="none" w:sz="0" w:space="0"/>
            <w:left w:val="none" w:sz="0" w:space="0"/>
            <w:bottom w:val="none" w:sz="0" w:space="0"/>
            <w:right w:val="none" w:sz="0" w:space="0"/>
          </w:pgBorders>
          <w:cols w:space="720" w:num="1"/>
        </w:sectPr>
      </w:pPr>
      <w:r>
        <w:rPr>
          <w:rFonts w:hint="eastAsia"/>
          <w:lang w:eastAsia="zh-CN"/>
        </w:rPr>
        <w:t>白牙市镇人民政府</w:t>
      </w:r>
    </w:p>
    <w:p>
      <w:pPr>
        <w:pStyle w:val="4"/>
        <w:spacing w:before="282" w:line="312" w:lineRule="auto"/>
        <w:rPr>
          <w:b/>
          <w:bCs/>
          <w:spacing w:val="-14"/>
          <w:lang w:eastAsia="zh-CN"/>
        </w:rPr>
      </w:pPr>
    </w:p>
    <w:p>
      <w:pPr>
        <w:pStyle w:val="4"/>
        <w:spacing w:before="282" w:line="312" w:lineRule="auto"/>
        <w:rPr>
          <w:b/>
          <w:bCs/>
          <w:spacing w:val="-4"/>
        </w:rPr>
      </w:pPr>
      <w:r>
        <w:rPr>
          <w:rFonts w:hint="eastAsia"/>
          <w:b/>
          <w:bCs/>
          <w:spacing w:val="-14"/>
          <w:lang w:eastAsia="zh-CN"/>
        </w:rPr>
        <w:t>东安县白牙市镇人民政府2020年</w:t>
      </w:r>
      <w:r>
        <w:rPr>
          <w:b/>
          <w:bCs/>
          <w:spacing w:val="-4"/>
        </w:rPr>
        <w:t>度部门</w:t>
      </w:r>
    </w:p>
    <w:p>
      <w:pPr>
        <w:pStyle w:val="4"/>
        <w:spacing w:before="282" w:line="312" w:lineRule="auto"/>
        <w:rPr>
          <w:b/>
          <w:bCs/>
        </w:rPr>
      </w:pPr>
      <w:r>
        <w:rPr>
          <w:b/>
          <w:bCs/>
        </w:rPr>
        <w:t>整体支出绩效评价报告</w:t>
      </w:r>
    </w:p>
    <w:p>
      <w:pPr>
        <w:pStyle w:val="5"/>
        <w:ind w:left="0" w:firstLine="640" w:firstLineChars="200"/>
      </w:pPr>
      <w:r>
        <w:rPr>
          <w:rFonts w:hint="eastAsia"/>
        </w:rPr>
        <w:t>一、部门基本情况</w:t>
      </w:r>
    </w:p>
    <w:p>
      <w:pPr>
        <w:pStyle w:val="5"/>
      </w:pPr>
      <w:r>
        <w:rPr>
          <w:rFonts w:hint="eastAsia"/>
        </w:rPr>
        <w:t>（一）部门机构设置、职能</w:t>
      </w:r>
    </w:p>
    <w:p>
      <w:pPr>
        <w:pStyle w:val="11"/>
        <w:numPr>
          <w:ilvl w:val="2"/>
          <w:numId w:val="1"/>
        </w:numPr>
        <w:tabs>
          <w:tab w:val="left" w:pos="1240"/>
        </w:tabs>
        <w:spacing w:before="190" w:line="350" w:lineRule="auto"/>
        <w:ind w:right="305" w:firstLine="638"/>
      </w:pPr>
      <w:r>
        <w:rPr>
          <w:rFonts w:hint="eastAsia"/>
          <w:spacing w:val="-2"/>
          <w:sz w:val="32"/>
        </w:rPr>
        <w:t>机构设置：政府机关内设党委、政府、人大、政协四大办公室。主要职能：党委和政府两种职能：(1)保证党的路线方针、政策的坚决贯彻执行。组织指导好各业生产，搞好</w:t>
      </w:r>
      <w:r>
        <w:fldChar w:fldCharType="begin"/>
      </w:r>
      <w:r>
        <w:instrText xml:space="preserve"> HYPERLINK "https://www.baidu.com/s?wd=%E5%95%86%E5%93%81%E6%B5%81%E9%80%9A&amp;tn=44039180_cpr&amp;fenlei=mv6quAkxTZn0IZRqIHckPjm4nH00T1d9ryDkmWn3PWbYnj7bPvwh0ZwV5Hcvrjm3rH6sPfKWUMw85HfYnjn4nH6sgvPsT6KdThsqpZwYTjCEQLGCpyw9Uz4Bmy-bIi4WUvYETgN-TLwGUv3EPjDYnH0dPjcv" \t "_blank" </w:instrText>
      </w:r>
      <w:r>
        <w:fldChar w:fldCharType="separate"/>
      </w:r>
      <w:r>
        <w:rPr>
          <w:rFonts w:hint="eastAsia"/>
          <w:spacing w:val="-2"/>
          <w:sz w:val="32"/>
        </w:rPr>
        <w:t>商品流通</w:t>
      </w:r>
      <w:r>
        <w:rPr>
          <w:rFonts w:hint="eastAsia"/>
          <w:spacing w:val="-2"/>
          <w:sz w:val="32"/>
        </w:rPr>
        <w:fldChar w:fldCharType="end"/>
      </w:r>
      <w:r>
        <w:rPr>
          <w:rFonts w:hint="eastAsia"/>
          <w:spacing w:val="-2"/>
          <w:sz w:val="32"/>
        </w:rPr>
        <w:t>，协调好我镇与外地区的经济交流与合作，促进经济发展。（2）制定并组织实施村镇建设规划，部署重点工程建设，道路建设及公共设施，水利设施的管理，负责土地、林木、水等自然资源和生态环境的保护，做好护林防火工作。（3）负责本镇的民政、计划生育、</w:t>
      </w:r>
      <w:r>
        <w:fldChar w:fldCharType="begin"/>
      </w:r>
      <w:r>
        <w:instrText xml:space="preserve"> HYPERLINK "https://www.baidu.com/s?wd=%E6%96%87%E5%8C%96%E6%95%99%E8%82%B2&amp;tn=44039180_cpr&amp;fenlei=mv6quAkxTZn0IZRqIHckPjm4nH00T1d9ryDkmWn3PWbYnj7bPvwh0ZwV5Hcvrjm3rH6sPfKWUMw85HfYnjn4nH6sgvPsT6KdThsqpZwYTjCEQLGCpyw9Uz4Bmy-bIi4WUvYETgN-TLwGUv3EPjDYnH0dPjcv" \t "_blank" </w:instrText>
      </w:r>
      <w:r>
        <w:fldChar w:fldCharType="separate"/>
      </w:r>
      <w:r>
        <w:rPr>
          <w:rFonts w:hint="eastAsia"/>
          <w:spacing w:val="-2"/>
          <w:sz w:val="32"/>
        </w:rPr>
        <w:t>文化教育</w:t>
      </w:r>
      <w:r>
        <w:rPr>
          <w:rFonts w:hint="eastAsia"/>
          <w:spacing w:val="-2"/>
          <w:sz w:val="32"/>
        </w:rPr>
        <w:fldChar w:fldCharType="end"/>
      </w:r>
      <w:r>
        <w:rPr>
          <w:rFonts w:hint="eastAsia"/>
          <w:spacing w:val="-2"/>
          <w:sz w:val="32"/>
        </w:rPr>
        <w:t>、卫生、体育等社会公益事业的综合性工作，维护一切经济单位和个人的正当经济权益，取缔非法经济活动，调解和处理</w:t>
      </w:r>
      <w:r>
        <w:fldChar w:fldCharType="begin"/>
      </w:r>
      <w:r>
        <w:instrText xml:space="preserve"> HYPERLINK "https://www.baidu.com/s?wd=%E6%B0%91%E4%BA%8B%E7%BA%A0%E7%BA%B7&amp;tn=44039180_cpr&amp;fenlei=mv6quAkxTZn0IZRqIHckPjm4nH00T1d9ryDkmWn3PWbYnj7bPvwh0ZwV5Hcvrjm3rH6sPfKWUMw85HfYnjn4nH6sgvPsT6KdThsqpZwYTjCEQLGCpyw9Uz4Bmy-bIi4WUvYETgN-TLwGUv3EPjDYnH0dPjcv" \t "_blank" </w:instrText>
      </w:r>
      <w:r>
        <w:fldChar w:fldCharType="separate"/>
      </w:r>
      <w:r>
        <w:rPr>
          <w:rFonts w:hint="eastAsia"/>
          <w:spacing w:val="-2"/>
          <w:sz w:val="32"/>
        </w:rPr>
        <w:t>民事纠纷</w:t>
      </w:r>
      <w:r>
        <w:rPr>
          <w:rFonts w:hint="eastAsia"/>
          <w:spacing w:val="-2"/>
          <w:sz w:val="32"/>
        </w:rPr>
        <w:fldChar w:fldCharType="end"/>
      </w:r>
      <w:r>
        <w:rPr>
          <w:rFonts w:hint="eastAsia"/>
          <w:spacing w:val="-2"/>
          <w:sz w:val="32"/>
        </w:rPr>
        <w:t>，打击刑事犯罪维护社会稳定。（4）按计划组织本级财政收入和地方税的征收，完成国家财政计划，不断培植税源，管好财政资金，增强财政实力。（5）抓好精神文明建设，丰富</w:t>
      </w:r>
      <w:r>
        <w:fldChar w:fldCharType="begin"/>
      </w:r>
      <w:r>
        <w:instrText xml:space="preserve"> HYPERLINK "https://www.baidu.com/s?wd=%E7%BE%A4%E4%BC%97%E6%96%87%E5%8C%96&amp;tn=44039180_cpr&amp;fenlei=mv6quAkxTZn0IZRqIHckPjm4nH00T1d9ryDkmWn3PWbYnj7bPvwh0ZwV5Hcvrjm3rH6sPfKWUMw85HfYnjn4nH6sgvPsT6KdThsqpZwYTjCEQLGCpyw9Uz4Bmy-bIi4WUvYETgN-TLwGUv3EPjDYnH0dPjcv" \t "_blank" </w:instrText>
      </w:r>
      <w:r>
        <w:fldChar w:fldCharType="separate"/>
      </w:r>
      <w:r>
        <w:rPr>
          <w:rFonts w:hint="eastAsia"/>
          <w:spacing w:val="-2"/>
          <w:sz w:val="32"/>
        </w:rPr>
        <w:t>群众文化</w:t>
      </w:r>
      <w:r>
        <w:rPr>
          <w:rFonts w:hint="eastAsia"/>
          <w:spacing w:val="-2"/>
          <w:sz w:val="32"/>
        </w:rPr>
        <w:fldChar w:fldCharType="end"/>
      </w:r>
      <w:r>
        <w:rPr>
          <w:rFonts w:hint="eastAsia"/>
          <w:spacing w:val="-2"/>
          <w:sz w:val="32"/>
        </w:rPr>
        <w:t>生活，树立社会主义新风尚。（6）完成上级政府交办的其它事项。</w:t>
      </w:r>
    </w:p>
    <w:p>
      <w:pPr>
        <w:pStyle w:val="5"/>
      </w:pPr>
      <w:r>
        <w:rPr>
          <w:rFonts w:hint="eastAsia"/>
        </w:rPr>
        <w:t>（</w:t>
      </w:r>
      <w:r>
        <w:rPr>
          <w:rFonts w:hint="eastAsia" w:eastAsia="宋体"/>
          <w:lang w:eastAsia="zh-CN"/>
        </w:rPr>
        <w:t>二</w:t>
      </w:r>
      <w:r>
        <w:rPr>
          <w:rFonts w:hint="eastAsia"/>
        </w:rPr>
        <w:t>）完成的主要工作</w:t>
      </w:r>
    </w:p>
    <w:p>
      <w:pPr>
        <w:pStyle w:val="6"/>
        <w:spacing w:before="190"/>
        <w:ind w:left="108" w:firstLine="640" w:firstLineChars="200"/>
        <w:jc w:val="both"/>
      </w:pPr>
      <w:r>
        <w:rPr>
          <w:rFonts w:hint="eastAsia"/>
        </w:rPr>
        <w:t>１、党委政府抓好全镇39个村</w:t>
      </w:r>
      <w:r>
        <w:rPr>
          <w:rFonts w:hint="eastAsia"/>
          <w:lang w:val="en-US" w:eastAsia="zh-CN"/>
        </w:rPr>
        <w:t>8</w:t>
      </w:r>
      <w:r>
        <w:rPr>
          <w:rFonts w:hint="eastAsia"/>
        </w:rPr>
        <w:t>个</w:t>
      </w:r>
      <w:bookmarkStart w:id="0" w:name="_GoBack"/>
      <w:bookmarkEnd w:id="0"/>
      <w:r>
        <w:rPr>
          <w:rFonts w:hint="eastAsia"/>
        </w:rPr>
        <w:t>社区和镇直属各单位的基层党建工作。</w:t>
      </w:r>
    </w:p>
    <w:p>
      <w:pPr>
        <w:pStyle w:val="6"/>
        <w:spacing w:before="190"/>
        <w:ind w:left="108" w:firstLine="640" w:firstLineChars="200"/>
        <w:jc w:val="both"/>
      </w:pPr>
      <w:r>
        <w:rPr>
          <w:rFonts w:hint="eastAsia"/>
        </w:rPr>
        <w:t>２、在党委政府的领导下，我镇顺利完成了国税、地税和耕地占用税任务。</w:t>
      </w:r>
    </w:p>
    <w:p>
      <w:pPr>
        <w:pStyle w:val="6"/>
        <w:spacing w:before="190"/>
        <w:ind w:left="108" w:firstLine="640" w:firstLineChars="200"/>
        <w:jc w:val="both"/>
        <w:rPr>
          <w:lang w:eastAsia="zh-CN"/>
        </w:rPr>
      </w:pPr>
      <w:r>
        <w:rPr>
          <w:rFonts w:hint="eastAsia"/>
        </w:rPr>
        <w:t>３、在政府服务职能部门的配合发放了各村地历保护补贴和种植大户补贴和农机购置补贴以及计生各项惠农政策和村级运转经费</w:t>
      </w:r>
      <w:r>
        <w:rPr>
          <w:rFonts w:hint="eastAsia"/>
          <w:lang w:eastAsia="zh-CN"/>
        </w:rPr>
        <w:t>。</w:t>
      </w:r>
    </w:p>
    <w:p>
      <w:pPr>
        <w:pStyle w:val="6"/>
        <w:spacing w:before="190"/>
        <w:ind w:left="108" w:firstLine="640" w:firstLineChars="200"/>
        <w:jc w:val="both"/>
        <w:rPr>
          <w:lang w:eastAsia="zh-CN"/>
        </w:rPr>
      </w:pPr>
      <w:r>
        <w:rPr>
          <w:rFonts w:hint="eastAsia"/>
        </w:rPr>
        <w:t>４、在县综改办的指导下9个村完成了一事一议项目让农民得到了实惠</w:t>
      </w:r>
      <w:r>
        <w:rPr>
          <w:rFonts w:hint="eastAsia"/>
          <w:lang w:eastAsia="zh-CN"/>
        </w:rPr>
        <w:t>。</w:t>
      </w:r>
    </w:p>
    <w:p>
      <w:pPr>
        <w:pStyle w:val="6"/>
        <w:spacing w:before="190"/>
        <w:ind w:left="108" w:firstLine="640" w:firstLineChars="200"/>
        <w:jc w:val="both"/>
        <w:rPr>
          <w:lang w:eastAsia="zh-CN"/>
        </w:rPr>
      </w:pPr>
      <w:r>
        <w:rPr>
          <w:rFonts w:hint="eastAsia"/>
        </w:rPr>
        <w:t>5、在党委政府的领导下我镇的安全生产、信访维稳工作、民意调查、计生和财政等名项工作在全县名列前茅，年终绩效考核为全县优秀</w:t>
      </w:r>
      <w:r>
        <w:rPr>
          <w:rFonts w:hint="eastAsia"/>
          <w:lang w:eastAsia="zh-CN"/>
        </w:rPr>
        <w:t>。</w:t>
      </w:r>
    </w:p>
    <w:p>
      <w:pPr>
        <w:pStyle w:val="6"/>
        <w:spacing w:before="190"/>
        <w:ind w:left="747"/>
        <w:rPr>
          <w:rFonts w:hint="eastAsia" w:ascii="黑体" w:eastAsia="黑体"/>
        </w:rPr>
      </w:pPr>
      <w:r>
        <w:rPr>
          <w:rFonts w:hint="eastAsia" w:ascii="黑体" w:eastAsia="黑体"/>
        </w:rPr>
        <w:t>二、一般公共预算支出情况</w:t>
      </w:r>
    </w:p>
    <w:p>
      <w:pPr>
        <w:pStyle w:val="6"/>
        <w:spacing w:before="190"/>
        <w:ind w:left="747"/>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（一）基本支出情况</w:t>
      </w:r>
    </w:p>
    <w:p>
      <w:pPr>
        <w:pStyle w:val="6"/>
        <w:spacing w:before="190"/>
        <w:ind w:firstLine="640" w:firstLineChars="200"/>
        <w:rPr>
          <w:rFonts w:hint="eastAsia"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sz w:val="32"/>
          <w:szCs w:val="32"/>
          <w:lang w:val="en-US"/>
        </w:rPr>
        <w:t>基本支出完成16,856万元，比上年增减10,988万元，增长(下降)187.24%，</w:t>
      </w:r>
      <w:r>
        <w:rPr>
          <w:rFonts w:hint="eastAsia" w:asciiTheme="minorEastAsia" w:hAnsiTheme="minorEastAsia" w:eastAsiaTheme="minorEastAsia" w:cstheme="minorEastAsia"/>
          <w:sz w:val="32"/>
          <w:szCs w:val="32"/>
          <w:lang w:val="zh-CN"/>
        </w:rPr>
        <w:t>变化的主要原因：</w:t>
      </w:r>
      <w:r>
        <w:rPr>
          <w:rFonts w:hint="eastAsia" w:asciiTheme="minorEastAsia" w:hAnsiTheme="minorEastAsia" w:eastAsiaTheme="minorEastAsia" w:cstheme="minorEastAsia"/>
          <w:sz w:val="32"/>
          <w:szCs w:val="32"/>
          <w:lang w:val="en-US"/>
        </w:rPr>
        <w:t>增加教育支出和卫生健康支出</w:t>
      </w:r>
      <w:r>
        <w:rPr>
          <w:rFonts w:hint="eastAsia" w:asciiTheme="minorEastAsia" w:hAnsiTheme="minorEastAsia" w:eastAsiaTheme="minorEastAsia" w:cstheme="minorEastAsia"/>
          <w:sz w:val="32"/>
          <w:szCs w:val="32"/>
          <w:lang w:val="en-US" w:eastAsia="zh-CN"/>
        </w:rPr>
        <w:t>，其中，</w:t>
      </w:r>
      <w:r>
        <w:rPr>
          <w:rFonts w:hint="eastAsia" w:asciiTheme="minorEastAsia" w:hAnsiTheme="minorEastAsia" w:eastAsiaTheme="minorEastAsia" w:cstheme="minorEastAsia"/>
          <w:sz w:val="32"/>
          <w:szCs w:val="32"/>
          <w:lang w:val="zh-CN"/>
        </w:rPr>
        <w:t>人员经费</w:t>
      </w:r>
      <w:r>
        <w:rPr>
          <w:rFonts w:hint="eastAsia" w:asciiTheme="minorEastAsia" w:hAnsiTheme="minorEastAsia" w:eastAsiaTheme="minorEastAsia" w:cstheme="minorEastAsia"/>
          <w:sz w:val="32"/>
          <w:szCs w:val="32"/>
          <w:lang w:val="en-US"/>
        </w:rPr>
        <w:t>完成4,889万元，比上年增减-320万元，增长(下降)-6.14%，</w:t>
      </w:r>
      <w:r>
        <w:rPr>
          <w:rFonts w:hint="eastAsia" w:asciiTheme="minorEastAsia" w:hAnsiTheme="minorEastAsia" w:eastAsiaTheme="minorEastAsia" w:cstheme="minorEastAsia"/>
          <w:sz w:val="32"/>
          <w:szCs w:val="32"/>
          <w:lang w:val="zh-CN"/>
        </w:rPr>
        <w:t>变化的主要原因：压缩开支</w:t>
      </w:r>
      <w:r>
        <w:rPr>
          <w:rFonts w:hint="eastAsia" w:asciiTheme="minorEastAsia" w:hAnsiTheme="minorEastAsia" w:eastAsiaTheme="minorEastAsia" w:cstheme="minorEastAsia"/>
          <w:sz w:val="32"/>
          <w:szCs w:val="32"/>
          <w:lang w:val="en-US"/>
        </w:rPr>
        <w:t>；公用</w:t>
      </w:r>
      <w:r>
        <w:rPr>
          <w:rFonts w:hint="eastAsia" w:asciiTheme="minorEastAsia" w:hAnsiTheme="minorEastAsia" w:eastAsiaTheme="minorEastAsia" w:cstheme="minorEastAsia"/>
          <w:sz w:val="32"/>
          <w:szCs w:val="32"/>
          <w:lang w:val="zh-CN"/>
        </w:rPr>
        <w:t>经费</w:t>
      </w:r>
      <w:r>
        <w:rPr>
          <w:rFonts w:hint="eastAsia" w:asciiTheme="minorEastAsia" w:hAnsiTheme="minorEastAsia" w:eastAsiaTheme="minorEastAsia" w:cstheme="minorEastAsia"/>
          <w:sz w:val="32"/>
          <w:szCs w:val="32"/>
          <w:lang w:val="en-US"/>
        </w:rPr>
        <w:t>完成11,967万元，比上年增减11,307万元，增长(下降)1,713.24%，</w:t>
      </w:r>
      <w:r>
        <w:rPr>
          <w:rFonts w:hint="eastAsia" w:asciiTheme="minorEastAsia" w:hAnsiTheme="minorEastAsia" w:eastAsiaTheme="minorEastAsia" w:cstheme="minorEastAsia"/>
          <w:sz w:val="32"/>
          <w:szCs w:val="32"/>
          <w:lang w:val="zh-CN"/>
        </w:rPr>
        <w:t>变化的主要原因：</w:t>
      </w:r>
      <w:r>
        <w:rPr>
          <w:rFonts w:hint="eastAsia" w:asciiTheme="minorEastAsia" w:hAnsiTheme="minorEastAsia" w:eastAsiaTheme="minorEastAsia" w:cstheme="minorEastAsia"/>
          <w:sz w:val="32"/>
          <w:szCs w:val="32"/>
          <w:lang w:val="en-US"/>
        </w:rPr>
        <w:t>增加教育支出和卫生健康支出</w:t>
      </w:r>
      <w:r>
        <w:rPr>
          <w:rFonts w:hint="eastAsia" w:asciiTheme="minorEastAsia" w:hAnsiTheme="minorEastAsia" w:eastAsiaTheme="minorEastAsia" w:cstheme="minorEastAsia"/>
          <w:sz w:val="32"/>
          <w:szCs w:val="32"/>
          <w:lang w:val="zh-CN"/>
        </w:rPr>
        <w:t>。</w:t>
      </w:r>
    </w:p>
    <w:p>
      <w:pPr>
        <w:pStyle w:val="6"/>
        <w:numPr>
          <w:ilvl w:val="0"/>
          <w:numId w:val="2"/>
        </w:numPr>
        <w:ind w:firstLine="620" w:firstLineChars="200"/>
        <w:rPr>
          <w:rFonts w:hint="eastAsia" w:asciiTheme="minorEastAsia" w:hAnsiTheme="minorEastAsia" w:eastAsiaTheme="minorEastAsia" w:cstheme="minorEastAsia"/>
          <w:spacing w:val="-5"/>
          <w:sz w:val="32"/>
          <w:szCs w:val="32"/>
          <w:lang w:eastAsia="zh-CN"/>
        </w:rPr>
      </w:pPr>
      <w:r>
        <w:rPr>
          <w:rFonts w:hint="eastAsia" w:asciiTheme="minorEastAsia" w:hAnsiTheme="minorEastAsia" w:eastAsiaTheme="minorEastAsia" w:cstheme="minorEastAsia"/>
          <w:spacing w:val="-5"/>
          <w:sz w:val="32"/>
          <w:szCs w:val="32"/>
          <w:lang w:eastAsia="zh-CN"/>
        </w:rPr>
        <w:t>项目支出情况</w:t>
      </w:r>
    </w:p>
    <w:p>
      <w:pPr>
        <w:pStyle w:val="6"/>
        <w:numPr>
          <w:ilvl w:val="0"/>
          <w:numId w:val="0"/>
        </w:numPr>
        <w:ind w:firstLine="640" w:firstLineChars="200"/>
        <w:rPr>
          <w:rFonts w:hint="eastAsia" w:asciiTheme="minorEastAsia" w:hAnsiTheme="minorEastAsia" w:eastAsiaTheme="minorEastAsia" w:cstheme="minorEastAsia"/>
          <w:spacing w:val="-5"/>
          <w:sz w:val="32"/>
          <w:szCs w:val="32"/>
          <w:lang w:eastAsia="zh-CN"/>
        </w:rPr>
      </w:pPr>
      <w:r>
        <w:rPr>
          <w:rFonts w:hint="eastAsia" w:asciiTheme="minorEastAsia" w:hAnsiTheme="minorEastAsia" w:eastAsiaTheme="minorEastAsia" w:cstheme="minorEastAsia"/>
          <w:sz w:val="32"/>
          <w:szCs w:val="32"/>
          <w:lang w:val="en-US"/>
        </w:rPr>
        <w:t>项目支出1,067万元，比上年增减50万元，增长(下降)4.92%；</w:t>
      </w:r>
      <w:r>
        <w:rPr>
          <w:rFonts w:hint="eastAsia" w:asciiTheme="minorEastAsia" w:hAnsiTheme="minorEastAsia" w:eastAsiaTheme="minorEastAsia" w:cstheme="minorEastAsia"/>
          <w:sz w:val="32"/>
          <w:szCs w:val="32"/>
          <w:lang w:val="zh-CN"/>
        </w:rPr>
        <w:t>变化的主要原因：村级运转经费增加</w:t>
      </w:r>
      <w:r>
        <w:rPr>
          <w:rFonts w:hint="eastAsia" w:asciiTheme="minorEastAsia" w:hAnsiTheme="minorEastAsia" w:eastAsiaTheme="minorEastAsia" w:cstheme="minorEastAsia"/>
          <w:sz w:val="32"/>
          <w:szCs w:val="32"/>
          <w:lang w:val="en-US"/>
        </w:rPr>
        <w:t>。</w:t>
      </w:r>
    </w:p>
    <w:p>
      <w:pPr>
        <w:pStyle w:val="6"/>
        <w:numPr>
          <w:ilvl w:val="0"/>
          <w:numId w:val="0"/>
        </w:numPr>
        <w:rPr>
          <w:rFonts w:hint="eastAsia"/>
          <w:spacing w:val="-5"/>
          <w:lang w:eastAsia="zh-CN"/>
        </w:rPr>
      </w:pPr>
    </w:p>
    <w:p>
      <w:pPr>
        <w:pStyle w:val="6"/>
        <w:ind w:firstLine="640" w:firstLineChars="200"/>
        <w:rPr>
          <w:rFonts w:ascii="黑体" w:hAnsi="黑体" w:eastAsia="黑体" w:cs="黑体"/>
        </w:rPr>
      </w:pPr>
      <w:r>
        <w:rPr>
          <w:rFonts w:hint="eastAsia" w:ascii="黑体" w:hAnsi="黑体" w:eastAsia="黑体" w:cs="黑体"/>
          <w:lang w:eastAsia="zh-CN"/>
        </w:rPr>
        <w:t>三</w:t>
      </w:r>
      <w:r>
        <w:rPr>
          <w:rFonts w:hint="eastAsia" w:ascii="黑体" w:hAnsi="黑体" w:eastAsia="黑体" w:cs="黑体"/>
        </w:rPr>
        <w:t>、部门整体支出绩效情况</w:t>
      </w:r>
    </w:p>
    <w:p>
      <w:pPr>
        <w:pStyle w:val="6"/>
        <w:spacing w:line="360" w:lineRule="auto"/>
        <w:ind w:left="108" w:right="466" w:firstLine="638"/>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zh-CN" w:eastAsia="zh-CN"/>
        </w:rPr>
        <w:t>2020年，根据我镇年初工作规划和重点性工作，围绕全面建成小康社会的发展蓝图，积极履职，强化管理，较好的完成了工作目标。通过加强预算收支管理，不断建立健全内部管理制度，梳理内部管理流程，部门整体支出管理情况得到提升。部门整体支出绩效情况如下：</w:t>
      </w:r>
    </w:p>
    <w:p>
      <w:pPr>
        <w:pStyle w:val="6"/>
        <w:spacing w:line="360" w:lineRule="auto"/>
        <w:ind w:left="108" w:right="466" w:firstLine="638"/>
        <w:jc w:val="both"/>
        <w:rPr>
          <w:lang w:val="zh-CN" w:eastAsia="zh-CN"/>
        </w:rPr>
      </w:pPr>
      <w:r>
        <w:rPr>
          <w:rFonts w:hint="eastAsia"/>
          <w:b/>
          <w:color w:val="222222"/>
          <w:lang w:eastAsia="zh-CN" w:bidi="zh-CN"/>
        </w:rPr>
        <w:t>1、</w:t>
      </w:r>
      <w:r>
        <w:rPr>
          <w:rFonts w:hint="eastAsia"/>
          <w:b/>
          <w:color w:val="222222"/>
          <w:lang w:val="zh-CN" w:eastAsia="zh-CN" w:bidi="zh-CN"/>
        </w:rPr>
        <w:t>预算执行控制较好</w:t>
      </w:r>
      <w:r>
        <w:rPr>
          <w:rFonts w:hint="eastAsia"/>
          <w:lang w:val="zh-CN" w:eastAsia="zh-CN"/>
        </w:rPr>
        <w:t>。支出总额控制在预算总额以内，本年部门预算未进行预算相关事项的调整；预算完成率达到100%，预算控制较好，全年无截留、挪用专项资金情况。</w:t>
      </w:r>
    </w:p>
    <w:p>
      <w:pPr>
        <w:pStyle w:val="6"/>
        <w:spacing w:line="360" w:lineRule="auto"/>
        <w:ind w:left="108" w:right="466" w:firstLine="638"/>
        <w:jc w:val="both"/>
        <w:rPr>
          <w:lang w:val="zh-CN" w:eastAsia="zh-CN"/>
        </w:rPr>
      </w:pPr>
      <w:r>
        <w:rPr>
          <w:rFonts w:hint="eastAsia"/>
          <w:b/>
          <w:color w:val="222222"/>
          <w:lang w:eastAsia="zh-CN" w:bidi="zh-CN"/>
        </w:rPr>
        <w:t>2、预</w:t>
      </w:r>
      <w:r>
        <w:rPr>
          <w:rFonts w:hint="eastAsia"/>
          <w:b/>
          <w:color w:val="222222"/>
          <w:lang w:val="zh-CN" w:eastAsia="zh-CN" w:bidi="zh-CN"/>
        </w:rPr>
        <w:t>算管理较为理想</w:t>
      </w:r>
      <w:r>
        <w:rPr>
          <w:rFonts w:hint="eastAsia"/>
          <w:lang w:val="zh-CN" w:eastAsia="zh-CN"/>
        </w:rPr>
        <w:t>。制度执行总体较为有效，但仍需进一步强化。全年公用经费控制率为100%；“三公”经费总体控制较好，严格支出成本，节约开支。</w:t>
      </w:r>
    </w:p>
    <w:p>
      <w:pPr>
        <w:pStyle w:val="6"/>
        <w:spacing w:line="360" w:lineRule="auto"/>
        <w:ind w:left="108" w:right="466" w:firstLine="638"/>
        <w:jc w:val="both"/>
        <w:rPr>
          <w:lang w:val="zh-CN" w:eastAsia="zh-CN"/>
        </w:rPr>
      </w:pPr>
      <w:r>
        <w:rPr>
          <w:rFonts w:hint="eastAsia"/>
          <w:lang w:val="zh-CN" w:eastAsia="zh-CN"/>
        </w:rPr>
        <w:t>（1）对于单位的政府采购项目，凡单位购买属于政府采购范围内的货物、工程和服务，严格遵守政府采购相关法律法规的规定办理相关审批手续，政府采购执行率达到100%。</w:t>
      </w:r>
    </w:p>
    <w:p>
      <w:pPr>
        <w:pStyle w:val="6"/>
        <w:spacing w:line="360" w:lineRule="auto"/>
        <w:ind w:left="108" w:right="466" w:firstLine="638"/>
        <w:jc w:val="both"/>
        <w:rPr>
          <w:lang w:val="zh-CN" w:eastAsia="zh-CN"/>
        </w:rPr>
      </w:pPr>
      <w:r>
        <w:rPr>
          <w:rFonts w:hint="eastAsia"/>
          <w:lang w:val="zh-CN" w:eastAsia="zh-CN"/>
        </w:rPr>
        <w:t>（2）管理制度健全。我镇严格预算管理，切实按照县委出台的五项管理制度要求，坚持执行财经和财务制度，修改完善了开发区《机关财务管理规定》《财产管理规定》《公务接待管理规定》《内部审计制度》《差旅费、会议费、培训费管理规定》《公务车辆管理办法》《会计核算制度》《厉行节约规定》等工作制度，进一步明确了财政预算资金审批手续和拨付程序、机关行政经费审批手续和报销程序，加强了财务管理，规范了收支行为，保证了财务管理工作规范有序进行。</w:t>
      </w:r>
    </w:p>
    <w:p>
      <w:pPr>
        <w:pStyle w:val="6"/>
        <w:spacing w:line="350" w:lineRule="auto"/>
        <w:ind w:left="108" w:right="466" w:firstLine="638"/>
        <w:jc w:val="both"/>
        <w:rPr>
          <w:lang w:val="zh-CN" w:eastAsia="zh-CN"/>
        </w:rPr>
      </w:pPr>
      <w:r>
        <w:rPr>
          <w:rFonts w:hint="eastAsia"/>
          <w:lang w:val="zh-CN" w:eastAsia="zh-CN"/>
        </w:rPr>
        <w:t>（3）资金使用管理逐步加强。单位支出严格按照国家财经法规和财务管理制度规定执行，正确组织资金的筹集、调度和使用，债权债务及时结算、结清。费用开支有标准、有预算，正确核算收入、税金、利润及利润分配。所有支出均通过我单位财政直接支付方式办理，资金使用无截留、挤占、挪用、虚列支出等情况。</w:t>
      </w:r>
    </w:p>
    <w:p>
      <w:pPr>
        <w:pStyle w:val="6"/>
        <w:spacing w:line="350" w:lineRule="auto"/>
        <w:ind w:left="108" w:right="466" w:firstLine="638"/>
        <w:jc w:val="both"/>
        <w:rPr>
          <w:lang w:val="zh-CN" w:eastAsia="zh-CN"/>
        </w:rPr>
      </w:pPr>
      <w:r>
        <w:rPr>
          <w:rFonts w:hint="eastAsia"/>
          <w:lang w:val="zh-CN" w:eastAsia="zh-CN"/>
        </w:rPr>
        <w:t>（4）部门预算收支严格按年初部门预算方案执行，部门预决算、“三公”经费预决算按要求及时进行了公开。</w:t>
      </w:r>
    </w:p>
    <w:p>
      <w:pPr>
        <w:pStyle w:val="6"/>
        <w:ind w:firstLine="640" w:firstLineChars="200"/>
        <w:rPr>
          <w:rFonts w:ascii="黑体" w:hAnsi="黑体" w:eastAsia="黑体" w:cs="黑体"/>
        </w:rPr>
      </w:pPr>
      <w:r>
        <w:rPr>
          <w:rFonts w:hint="eastAsia" w:ascii="黑体" w:hAnsi="黑体" w:eastAsia="黑体" w:cs="黑体"/>
        </w:rPr>
        <w:t>五、结合《部门整体支出绩效评价指标表</w:t>
      </w:r>
      <w:r>
        <w:rPr>
          <w:rFonts w:hint="eastAsia" w:ascii="黑体" w:hAnsi="黑体" w:eastAsia="黑体" w:cs="黑体"/>
          <w:lang w:eastAsia="zh-CN"/>
        </w:rPr>
        <w:t>》</w:t>
      </w:r>
      <w:r>
        <w:rPr>
          <w:rFonts w:hint="eastAsia" w:ascii="黑体" w:hAnsi="黑体" w:eastAsia="黑体" w:cs="黑体"/>
        </w:rPr>
        <w:t>的评价结果</w:t>
      </w:r>
    </w:p>
    <w:p>
      <w:pPr>
        <w:pStyle w:val="6"/>
        <w:spacing w:line="360" w:lineRule="auto"/>
        <w:ind w:right="465" w:firstLine="640" w:firstLineChars="200"/>
        <w:jc w:val="both"/>
        <w:rPr>
          <w:spacing w:val="-5"/>
        </w:rPr>
      </w:pPr>
      <w:r>
        <w:rPr>
          <w:rFonts w:hint="eastAsia"/>
          <w:lang w:val="zh-CN" w:eastAsia="zh-CN"/>
        </w:rPr>
        <w:t>按照《财政部关于开展行政事业单位内部控制基础性评价工作的通知》要求，依据《行政事业单位内部控制规范（试行）》的有关规定，采用定量分析和定性分析相结合的方法，从预算编制、执行、资金使用、监管以及财务会计信息、项目组织管理、项目绩效完成等方面对专项进行了综合评价，形成绩效综合评价结论</w:t>
      </w:r>
      <w:r>
        <w:rPr>
          <w:rFonts w:hint="eastAsia"/>
        </w:rPr>
        <w:t>。</w:t>
      </w:r>
    </w:p>
    <w:p/>
    <w:p>
      <w:pPr>
        <w:pStyle w:val="6"/>
        <w:spacing w:before="10"/>
        <w:ind w:left="747"/>
        <w:rPr>
          <w:rFonts w:ascii="黑体" w:eastAsia="黑体"/>
        </w:rPr>
      </w:pPr>
      <w:r>
        <w:rPr>
          <w:rFonts w:hint="eastAsia" w:ascii="黑体" w:eastAsia="黑体"/>
          <w:lang w:eastAsia="zh-CN"/>
        </w:rPr>
        <w:t>六</w:t>
      </w:r>
      <w:r>
        <w:rPr>
          <w:rFonts w:hint="eastAsia" w:ascii="黑体" w:eastAsia="黑体"/>
        </w:rPr>
        <w:t>、存在的问题及原因分析</w:t>
      </w:r>
    </w:p>
    <w:p>
      <w:pPr>
        <w:pStyle w:val="6"/>
        <w:spacing w:before="190" w:line="350" w:lineRule="auto"/>
        <w:ind w:left="108" w:right="466" w:firstLine="638"/>
        <w:jc w:val="both"/>
      </w:pPr>
      <w:r>
        <w:rPr>
          <w:rFonts w:hint="eastAsia"/>
          <w:lang w:eastAsia="zh-CN"/>
        </w:rPr>
        <w:t>2020年</w:t>
      </w:r>
      <w:r>
        <w:rPr>
          <w:rFonts w:hint="eastAsia"/>
        </w:rPr>
        <w:t>我镇整体支出虽然保证了正常运行和职能履行，但在资金安排和执行中存在一些问题。三公经费支出仍比较突出。公用经费控制有待进一步加强，预算编制的合理性有待提高。</w:t>
      </w:r>
    </w:p>
    <w:p>
      <w:pPr>
        <w:pStyle w:val="6"/>
        <w:ind w:firstLine="640" w:firstLineChars="200"/>
        <w:rPr>
          <w:rFonts w:ascii="黑体" w:hAnsi="黑体" w:eastAsia="黑体" w:cs="黑体"/>
          <w:lang w:eastAsia="zh-CN"/>
        </w:rPr>
      </w:pPr>
      <w:r>
        <w:rPr>
          <w:rFonts w:hint="eastAsia" w:ascii="黑体" w:hAnsi="黑体" w:eastAsia="黑体" w:cs="黑体"/>
          <w:lang w:eastAsia="zh-CN"/>
        </w:rPr>
        <w:t>七、改进措施及有关建议</w:t>
      </w:r>
    </w:p>
    <w:p>
      <w:pPr>
        <w:pStyle w:val="6"/>
        <w:spacing w:before="190" w:line="350" w:lineRule="auto"/>
        <w:ind w:left="108" w:right="466" w:firstLine="638"/>
        <w:jc w:val="both"/>
        <w:rPr>
          <w:lang w:eastAsia="zh-CN"/>
        </w:rPr>
      </w:pPr>
      <w:r>
        <w:rPr>
          <w:rFonts w:hint="eastAsia"/>
          <w:lang w:eastAsia="zh-CN"/>
        </w:rPr>
        <w:t>（一）科学预算编制。进一步提高各部室预算管理意识，按照财政预算编制要求及内部控制流程细化编制预算，进一步提高部门预算编制的科学性、合理性和全面性；在确保人员经费、必要的办公经费等基本支出需要的前提下制定切实可行的预算支出计划，保证计划的有效性；多与财政厅沟通，争取加大项目经费支出力度，避免年中追加经费，以影响部门预算控制率和政府采购执行率；</w:t>
      </w:r>
    </w:p>
    <w:p>
      <w:pPr>
        <w:pStyle w:val="6"/>
        <w:spacing w:before="190" w:line="350" w:lineRule="auto"/>
        <w:ind w:left="108" w:right="466" w:firstLine="638"/>
        <w:jc w:val="both"/>
        <w:rPr>
          <w:lang w:eastAsia="zh-CN"/>
        </w:rPr>
      </w:pPr>
      <w:r>
        <w:rPr>
          <w:rFonts w:hint="eastAsia"/>
          <w:lang w:eastAsia="zh-CN"/>
        </w:rPr>
        <w:t>（二）严格预算执行。严格预算执行，规范审批程序，对重大年中预算调整事项应经充分性论证及集体决策，并逐级报批。同时，加强项目资金管理，提高资金使用效率，发挥资金使用效益。</w:t>
      </w:r>
    </w:p>
    <w:p>
      <w:pPr>
        <w:pStyle w:val="6"/>
        <w:spacing w:before="190" w:line="350" w:lineRule="auto"/>
        <w:ind w:left="108" w:right="466" w:firstLine="638"/>
        <w:jc w:val="both"/>
        <w:rPr>
          <w:rFonts w:hint="eastAsia"/>
          <w:lang w:eastAsia="zh-CN"/>
        </w:rPr>
      </w:pPr>
      <w:r>
        <w:rPr>
          <w:rFonts w:hint="eastAsia"/>
          <w:lang w:eastAsia="zh-CN"/>
        </w:rPr>
        <w:t>（三）强化绩效管理。加强组织领导，建立长效绩效管理机制，将绩效评价作为我会经常性、长期性工作，强化评价结果运用。按照财政厅的要求，对绩效评价中发现的问题及时沟通、按时上报绩效自评报告、提出改进措施和建议，落实绩效问责制度。</w:t>
      </w:r>
    </w:p>
    <w:p>
      <w:pPr>
        <w:pStyle w:val="6"/>
        <w:spacing w:before="190" w:line="350" w:lineRule="auto"/>
        <w:ind w:left="108" w:right="466" w:firstLine="638"/>
        <w:jc w:val="both"/>
        <w:rPr>
          <w:rFonts w:hint="eastAsia"/>
          <w:lang w:eastAsia="zh-CN"/>
        </w:rPr>
      </w:pPr>
    </w:p>
    <w:p>
      <w:pPr>
        <w:pStyle w:val="6"/>
        <w:spacing w:before="190" w:line="350" w:lineRule="auto"/>
        <w:ind w:left="108" w:right="466" w:firstLine="638"/>
        <w:jc w:val="both"/>
        <w:rPr>
          <w:rFonts w:hint="eastAsia"/>
          <w:lang w:eastAsia="zh-CN"/>
        </w:rPr>
      </w:pPr>
    </w:p>
    <w:p>
      <w:pPr>
        <w:pStyle w:val="6"/>
        <w:spacing w:before="190" w:line="350" w:lineRule="auto"/>
        <w:ind w:left="108" w:right="466" w:firstLine="638"/>
        <w:jc w:val="both"/>
        <w:rPr>
          <w:rFonts w:hint="eastAsia"/>
          <w:lang w:eastAsia="zh-CN"/>
        </w:rPr>
      </w:pPr>
    </w:p>
    <w:p>
      <w:pPr>
        <w:pStyle w:val="6"/>
        <w:spacing w:before="190" w:line="350" w:lineRule="auto"/>
        <w:ind w:right="466"/>
        <w:jc w:val="both"/>
        <w:rPr>
          <w:rFonts w:hint="eastAsia"/>
          <w:lang w:eastAsia="zh-CN"/>
        </w:rPr>
      </w:pPr>
    </w:p>
    <w:p>
      <w:pPr>
        <w:pStyle w:val="6"/>
        <w:spacing w:before="190" w:line="350" w:lineRule="auto"/>
        <w:ind w:left="108" w:right="466" w:firstLine="638"/>
        <w:jc w:val="both"/>
        <w:rPr>
          <w:rFonts w:hint="eastAsia"/>
          <w:lang w:eastAsia="zh-CN"/>
        </w:rPr>
      </w:pPr>
    </w:p>
    <w:p>
      <w:pPr>
        <w:pStyle w:val="6"/>
        <w:spacing w:before="190" w:line="350" w:lineRule="auto"/>
        <w:ind w:left="108" w:right="466" w:firstLine="638"/>
        <w:jc w:val="right"/>
        <w:rPr>
          <w:rFonts w:hint="default"/>
          <w:lang w:val="en-US" w:eastAsia="zh-CN"/>
        </w:rPr>
      </w:pPr>
      <w:r>
        <w:rPr>
          <w:rFonts w:hint="eastAsia"/>
          <w:lang w:eastAsia="zh-CN"/>
        </w:rPr>
        <w:t>东安县白牙市镇人民政府</w:t>
      </w:r>
    </w:p>
    <w:sectPr>
      <w:footerReference r:id="rId9" w:type="default"/>
      <w:pgSz w:w="11910" w:h="16840"/>
      <w:pgMar w:top="1520" w:right="1240" w:bottom="1160" w:left="1480" w:header="0" w:footer="975" w:gutter="0"/>
      <w:pgBorders>
        <w:top w:val="none" w:sz="0" w:space="0"/>
        <w:left w:val="none" w:sz="0" w:space="0"/>
        <w:bottom w:val="none" w:sz="0" w:space="0"/>
        <w:right w:val="none" w:sz="0" w:space="0"/>
      </w:pgBorders>
      <w:pgNumType w:start="5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lang w:eastAsia="zh-CN"/>
      </w:rPr>
      <mc:AlternateContent>
        <mc:Choice Requires="wps">
          <w:drawing>
            <wp:anchor distT="0" distB="0" distL="114300" distR="114300" simplePos="0" relativeHeight="251655168" behindDoc="1" locked="0" layoutInCell="1" allowOverlap="1">
              <wp:simplePos x="0" y="0"/>
              <wp:positionH relativeFrom="page">
                <wp:posOffset>3724910</wp:posOffset>
              </wp:positionH>
              <wp:positionV relativeFrom="page">
                <wp:posOffset>9932670</wp:posOffset>
              </wp:positionV>
              <wp:extent cx="10922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09220" cy="139700"/>
                      </a:xfrm>
                      <a:prstGeom prst="rect">
                        <a:avLst/>
                      </a:prstGeom>
                      <a:noFill/>
                      <a:ln>
                        <a:noFill/>
                      </a:ln>
                    </wps:spPr>
                    <wps:txbx>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4</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93.3pt;margin-top:782.1pt;height:11pt;width:8.6pt;mso-position-horizontal-relative:page;mso-position-vertical-relative:page;z-index:-251661312;mso-width-relative:page;mso-height-relative:page;" filled="f" stroked="f" coordsize="21600,21600" o:gfxdata="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O5q0x7aAAAADQEAAA8AAAAAAAAA&#10;AQAgAAAAIgAAAGRycy9kb3ducmV2LnhtbFBLAQIUABQAAAAIAIdO4kAFVRb6nQEAACMDAAAOAAAA&#10;AAAAAAEAIAAAACkBAABkcnMvZTJvRG9jLnhtbFBLBQYAAAAABgAGAFkBAAA4BQAAAAA=&#10;">
              <v:fill on="f" focussize="0,0"/>
              <v:stroke on="f"/>
              <v:imagedata o:title=""/>
              <o:lock v:ext="edit" aspectratio="f"/>
              <v:textbox inset="0mm,0mm,0mm,0mm">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lang w:eastAsia="zh-CN"/>
      </w:rPr>
      <mc:AlternateContent>
        <mc:Choice Requires="wps">
          <w:drawing>
            <wp:anchor distT="0" distB="0" distL="114300" distR="114300" simplePos="0" relativeHeight="251656192" behindDoc="1" locked="0" layoutInCell="1" allowOverlap="1">
              <wp:simplePos x="0" y="0"/>
              <wp:positionH relativeFrom="page">
                <wp:posOffset>5291455</wp:posOffset>
              </wp:positionH>
              <wp:positionV relativeFrom="page">
                <wp:posOffset>6800850</wp:posOffset>
              </wp:positionV>
              <wp:extent cx="109220" cy="1397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09220" cy="139700"/>
                      </a:xfrm>
                      <a:prstGeom prst="rect">
                        <a:avLst/>
                      </a:prstGeom>
                      <a:noFill/>
                      <a:ln>
                        <a:noFill/>
                      </a:ln>
                    </wps:spPr>
                    <wps:txbx>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6</w:t>
                          </w:r>
                          <w:r>
                            <w:fldChar w:fldCharType="end"/>
                          </w:r>
                        </w:p>
                      </w:txbxContent>
                    </wps:txbx>
                    <wps:bodyPr lIns="0" tIns="0" rIns="0" bIns="0" upright="1"/>
                  </wps:wsp>
                </a:graphicData>
              </a:graphic>
            </wp:anchor>
          </w:drawing>
        </mc:Choice>
        <mc:Fallback>
          <w:pict>
            <v:shape id="_x0000_s1026" o:spid="_x0000_s1026" o:spt="202" type="#_x0000_t202" style="position:absolute;left:0pt;margin-left:416.65pt;margin-top:535.5pt;height:11pt;width:8.6pt;mso-position-horizontal-relative:page;mso-position-vertical-relative:page;z-index:-251660288;mso-width-relative:page;mso-height-relative:page;" filled="f" stroked="f" coordsize="21600,21600" o:gfxdata="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Crr7uDaAAAADQEAAA8AAAAAAAAA&#10;AQAgAAAAIgAAAGRycy9kb3ducmV2LnhtbFBLAQIUABQAAAAIAIdO4kBbQR3EnQEAACMDAAAOAAAA&#10;AAAAAAEAIAAAACkBAABkcnMvZTJvRG9jLnhtbFBLBQYAAAAABgAGAFkBAAA4BQAAAAA=&#10;">
              <v:fill on="f" focussize="0,0"/>
              <v:stroke on="f"/>
              <v:imagedata o:title=""/>
              <o:lock v:ext="edit" aspectratio="f"/>
              <v:textbox inset="0mm,0mm,0mm,0mm">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6</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12"/>
      </w:rPr>
    </w:pPr>
    <w:r>
      <w:rPr>
        <w:lang w:eastAsia="zh-CN"/>
      </w:rPr>
      <mc:AlternateContent>
        <mc:Choice Requires="wps">
          <w:drawing>
            <wp:anchor distT="0" distB="0" distL="114300" distR="114300" simplePos="0" relativeHeight="251657216" behindDoc="1" locked="0" layoutInCell="1" allowOverlap="1">
              <wp:simplePos x="0" y="0"/>
              <wp:positionH relativeFrom="page">
                <wp:posOffset>5262245</wp:posOffset>
              </wp:positionH>
              <wp:positionV relativeFrom="page">
                <wp:posOffset>6800850</wp:posOffset>
              </wp:positionV>
              <wp:extent cx="167005" cy="1397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14</w:t>
                          </w:r>
                          <w:r>
                            <w:fldChar w:fldCharType="end"/>
                          </w:r>
                        </w:p>
                      </w:txbxContent>
                    </wps:txbx>
                    <wps:bodyPr lIns="0" tIns="0" rIns="0" bIns="0" upright="1"/>
                  </wps:wsp>
                </a:graphicData>
              </a:graphic>
            </wp:anchor>
          </w:drawing>
        </mc:Choice>
        <mc:Fallback>
          <w:pict>
            <v:shape id="_x0000_s1026" o:spid="_x0000_s1026" o:spt="202" type="#_x0000_t202" style="position:absolute;left:0pt;margin-left:414.35pt;margin-top:535.5pt;height:11pt;width:13.15pt;mso-position-horizontal-relative:page;mso-position-vertical-relative:page;z-index:-251659264;mso-width-relative:page;mso-height-relative:page;" filled="f" stroked="f" coordsize="21600,21600" o:gfxdata="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ByP7IDaAAAADQEAAA8AAAAAAAAA&#10;AQAgAAAAIgAAAGRycy9kb3ducmV2LnhtbFBLAQIUABQAAAAIAIdO4kCXPt/EnQEAACMDAAAOAAAA&#10;AAAAAAEAIAAAACkBAABkcnMvZTJvRG9jLnhtbFBLBQYAAAAABgAGAFkBAAA4BQAAAAA=&#10;">
              <v:fill on="f" focussize="0,0"/>
              <v:stroke on="f"/>
              <v:imagedata o:title=""/>
              <o:lock v:ext="edit" aspectratio="f"/>
              <v:textbox inset="0mm,0mm,0mm,0mm">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14</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lang w:eastAsia="zh-CN"/>
      </w:rPr>
      <mc:AlternateContent>
        <mc:Choice Requires="wps">
          <w:drawing>
            <wp:anchor distT="0" distB="0" distL="114300" distR="114300" simplePos="0" relativeHeight="251658240" behindDoc="1" locked="0" layoutInCell="1" allowOverlap="1">
              <wp:simplePos x="0" y="0"/>
              <wp:positionH relativeFrom="page">
                <wp:posOffset>5262245</wp:posOffset>
              </wp:positionH>
              <wp:positionV relativeFrom="page">
                <wp:posOffset>6800850</wp:posOffset>
              </wp:positionV>
              <wp:extent cx="167005" cy="1397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18</w:t>
                          </w:r>
                          <w:r>
                            <w:fldChar w:fldCharType="end"/>
                          </w:r>
                        </w:p>
                      </w:txbxContent>
                    </wps:txbx>
                    <wps:bodyPr lIns="0" tIns="0" rIns="0" bIns="0" upright="1"/>
                  </wps:wsp>
                </a:graphicData>
              </a:graphic>
            </wp:anchor>
          </w:drawing>
        </mc:Choice>
        <mc:Fallback>
          <w:pict>
            <v:shape id="_x0000_s1026" o:spid="_x0000_s1026" o:spt="202" type="#_x0000_t202" style="position:absolute;left:0pt;margin-left:414.35pt;margin-top:535.5pt;height:11pt;width:13.15pt;mso-position-horizontal-relative:page;mso-position-vertical-relative:page;z-index:-251658240;mso-width-relative:page;mso-height-relative:page;" filled="f" stroked="f" coordsize="21600,21600" o:gfxdata="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ByP7IDaAAAADQEAAA8AAAAAAAAA&#10;AQAgAAAAIgAAAGRycy9kb3ducmV2LnhtbFBLAQIUABQAAAAIAIdO4kDe5+AbnQEAACMDAAAOAAAA&#10;AAAAAAEAIAAAACkBAABkcnMvZTJvRG9jLnhtbFBLBQYAAAAABgAGAFkBAAA4BQAAAAA=&#10;">
              <v:fill on="f" focussize="0,0"/>
              <v:stroke on="f"/>
              <v:imagedata o:title=""/>
              <o:lock v:ext="edit" aspectratio="f"/>
              <v:textbox inset="0mm,0mm,0mm,0mm">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18</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lang w:eastAsia="zh-CN"/>
      </w:rPr>
      <mc:AlternateContent>
        <mc:Choice Requires="wps">
          <w:drawing>
            <wp:anchor distT="0" distB="0" distL="114300" distR="114300" simplePos="0" relativeHeight="251658240" behindDoc="1" locked="0" layoutInCell="1" allowOverlap="1">
              <wp:simplePos x="0" y="0"/>
              <wp:positionH relativeFrom="page">
                <wp:posOffset>3695700</wp:posOffset>
              </wp:positionH>
              <wp:positionV relativeFrom="page">
                <wp:posOffset>9932670</wp:posOffset>
              </wp:positionV>
              <wp:extent cx="167005" cy="1397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24</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91pt;margin-top:782.1pt;height:11pt;width:13.15pt;mso-position-horizontal-relative:page;mso-position-vertical-relative:page;z-index:-251658240;mso-width-relative:page;mso-height-relative:page;" filled="f" stroked="f" coordsize="21600,21600" o:gfxdata="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fiOHtNoAAAANAQAADwAAAAAAAAAB&#10;ACAAAAAiAAAAZHJzL2Rvd25yZXYueG1sUEsBAhQAFAAAAAgAh07iQCsWybicAQAAIwMAAA4AAAAA&#10;AAAAAQAgAAAAKQEAAGRycy9lMm9Eb2MueG1sUEsFBgAAAAAGAAYAWQEAADcFAAAAAA==&#10;">
              <v:fill on="f" focussize="0,0"/>
              <v:stroke on="f"/>
              <v:imagedata o:title=""/>
              <o:lock v:ext="edit" aspectratio="f"/>
              <v:textbox inset="0mm,0mm,0mm,0mm">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24</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lang w:eastAsia="zh-CN"/>
      </w:rPr>
      <mc:AlternateContent>
        <mc:Choice Requires="wps">
          <w:drawing>
            <wp:anchor distT="0" distB="0" distL="114300" distR="114300" simplePos="0" relativeHeight="251659264" behindDoc="1" locked="0" layoutInCell="1" allowOverlap="1">
              <wp:simplePos x="0" y="0"/>
              <wp:positionH relativeFrom="page">
                <wp:posOffset>3695700</wp:posOffset>
              </wp:positionH>
              <wp:positionV relativeFrom="page">
                <wp:posOffset>9932670</wp:posOffset>
              </wp:positionV>
              <wp:extent cx="167005" cy="1397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30</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91pt;margin-top:782.1pt;height:11pt;width:13.15pt;mso-position-horizontal-relative:page;mso-position-vertical-relative:page;z-index:-251657216;mso-width-relative:page;mso-height-relative:page;" filled="f" stroked="f" coordsize="21600,21600" o:gfxdata="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fiOHtNoAAAANAQAADwAAAAAAAAAB&#10;ACAAAAAiAAAAZHJzL2Rvd25yZXYueG1sUEsBAhQAFAAAAAgAh07iQHUCwoacAQAAIwMAAA4AAAAA&#10;AAAAAQAgAAAAKQEAAGRycy9lMm9Eb2MueG1sUEsFBgAAAAAGAAYAWQEAADcFAAAAAA==&#10;">
              <v:fill on="f" focussize="0,0"/>
              <v:stroke on="f"/>
              <v:imagedata o:title=""/>
              <o:lock v:ext="edit" aspectratio="f"/>
              <v:textbox inset="0mm,0mm,0mm,0mm">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30</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lang w:eastAsia="zh-CN"/>
      </w:rPr>
      <mc:AlternateContent>
        <mc:Choice Requires="wps">
          <w:drawing>
            <wp:anchor distT="0" distB="0" distL="114300" distR="114300" simplePos="0" relativeHeight="251660288" behindDoc="1" locked="0" layoutInCell="1" allowOverlap="1">
              <wp:simplePos x="0" y="0"/>
              <wp:positionH relativeFrom="page">
                <wp:posOffset>3695700</wp:posOffset>
              </wp:positionH>
              <wp:positionV relativeFrom="page">
                <wp:posOffset>9932670</wp:posOffset>
              </wp:positionV>
              <wp:extent cx="167005" cy="1397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54</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91pt;margin-top:782.1pt;height:11pt;width:13.15pt;mso-position-horizontal-relative:page;mso-position-vertical-relative:page;z-index:-251656192;mso-width-relative:page;mso-height-relative:page;" filled="f" stroked="f" coordsize="21600,21600" o:gfxdata="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fiOHtNoAAAANAQAADwAAAAAAAAAB&#10;ACAAAAAiAAAAZHJzL2Rvd25yZXYueG1sUEsBAhQAFAAAAAgAh07iQKa2zOOcAQAAIwMAAA4AAAAA&#10;AAAAAQAgAAAAKQEAAGRycy9lMm9Eb2MueG1sUEsFBgAAAAAGAAYAWQEAADcFAAAAAA==&#10;">
              <v:fill on="f" focussize="0,0"/>
              <v:stroke on="f"/>
              <v:imagedata o:title=""/>
              <o:lock v:ext="edit" aspectratio="f"/>
              <v:textbox inset="0mm,0mm,0mm,0mm">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54</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092B84"/>
    <w:multiLevelType w:val="multilevel"/>
    <w:tmpl w:val="CF092B84"/>
    <w:lvl w:ilvl="0" w:tentative="0">
      <w:start w:val="5"/>
      <w:numFmt w:val="decimal"/>
      <w:lvlText w:val="%1"/>
      <w:lvlJc w:val="left"/>
      <w:pPr>
        <w:ind w:left="670" w:hanging="562"/>
      </w:pPr>
      <w:rPr>
        <w:rFonts w:hint="default"/>
        <w:lang w:val="zh-CN" w:eastAsia="zh-CN" w:bidi="zh-CN"/>
      </w:rPr>
    </w:lvl>
    <w:lvl w:ilvl="1" w:tentative="0">
      <w:start w:val="68"/>
      <w:numFmt w:val="decimal"/>
      <w:lvlText w:val="%1.%2"/>
      <w:lvlJc w:val="left"/>
      <w:pPr>
        <w:ind w:left="783" w:hanging="562"/>
      </w:pPr>
      <w:rPr>
        <w:rFonts w:hint="default" w:ascii="Times New Roman" w:hAnsi="Times New Roman" w:eastAsia="Times New Roman" w:cs="Times New Roman"/>
        <w:spacing w:val="-2"/>
        <w:w w:val="99"/>
        <w:sz w:val="30"/>
        <w:szCs w:val="30"/>
        <w:lang w:val="zh-CN" w:eastAsia="zh-CN" w:bidi="zh-CN"/>
      </w:rPr>
    </w:lvl>
    <w:lvl w:ilvl="2" w:tentative="0">
      <w:start w:val="1"/>
      <w:numFmt w:val="decimal"/>
      <w:lvlText w:val="%3."/>
      <w:lvlJc w:val="left"/>
      <w:pPr>
        <w:ind w:left="108" w:hanging="493"/>
      </w:pPr>
      <w:rPr>
        <w:rFonts w:hint="default" w:ascii="Times New Roman" w:hAnsi="Times New Roman" w:eastAsia="Times New Roman" w:cs="Times New Roman"/>
        <w:spacing w:val="6"/>
        <w:w w:val="99"/>
        <w:sz w:val="30"/>
        <w:szCs w:val="30"/>
        <w:lang w:val="zh-CN" w:eastAsia="zh-CN" w:bidi="zh-CN"/>
      </w:rPr>
    </w:lvl>
    <w:lvl w:ilvl="3" w:tentative="0">
      <w:start w:val="0"/>
      <w:numFmt w:val="bullet"/>
      <w:lvlText w:val="•"/>
      <w:lvlJc w:val="left"/>
      <w:pPr>
        <w:ind w:left="2570" w:hanging="493"/>
      </w:pPr>
      <w:rPr>
        <w:rFonts w:hint="default"/>
        <w:lang w:val="zh-CN" w:eastAsia="zh-CN" w:bidi="zh-CN"/>
      </w:rPr>
    </w:lvl>
    <w:lvl w:ilvl="4" w:tentative="0">
      <w:start w:val="0"/>
      <w:numFmt w:val="bullet"/>
      <w:lvlText w:val="•"/>
      <w:lvlJc w:val="left"/>
      <w:pPr>
        <w:ind w:left="3515" w:hanging="493"/>
      </w:pPr>
      <w:rPr>
        <w:rFonts w:hint="default"/>
        <w:lang w:val="zh-CN" w:eastAsia="zh-CN" w:bidi="zh-CN"/>
      </w:rPr>
    </w:lvl>
    <w:lvl w:ilvl="5" w:tentative="0">
      <w:start w:val="0"/>
      <w:numFmt w:val="bullet"/>
      <w:lvlText w:val="•"/>
      <w:lvlJc w:val="left"/>
      <w:pPr>
        <w:ind w:left="4460" w:hanging="493"/>
      </w:pPr>
      <w:rPr>
        <w:rFonts w:hint="default"/>
        <w:lang w:val="zh-CN" w:eastAsia="zh-CN" w:bidi="zh-CN"/>
      </w:rPr>
    </w:lvl>
    <w:lvl w:ilvl="6" w:tentative="0">
      <w:start w:val="0"/>
      <w:numFmt w:val="bullet"/>
      <w:lvlText w:val="•"/>
      <w:lvlJc w:val="left"/>
      <w:pPr>
        <w:ind w:left="5405" w:hanging="493"/>
      </w:pPr>
      <w:rPr>
        <w:rFonts w:hint="default"/>
        <w:lang w:val="zh-CN" w:eastAsia="zh-CN" w:bidi="zh-CN"/>
      </w:rPr>
    </w:lvl>
    <w:lvl w:ilvl="7" w:tentative="0">
      <w:start w:val="0"/>
      <w:numFmt w:val="bullet"/>
      <w:lvlText w:val="•"/>
      <w:lvlJc w:val="left"/>
      <w:pPr>
        <w:ind w:left="6350" w:hanging="493"/>
      </w:pPr>
      <w:rPr>
        <w:rFonts w:hint="default"/>
        <w:lang w:val="zh-CN" w:eastAsia="zh-CN" w:bidi="zh-CN"/>
      </w:rPr>
    </w:lvl>
    <w:lvl w:ilvl="8" w:tentative="0">
      <w:start w:val="0"/>
      <w:numFmt w:val="bullet"/>
      <w:lvlText w:val="•"/>
      <w:lvlJc w:val="left"/>
      <w:pPr>
        <w:ind w:left="7295" w:hanging="493"/>
      </w:pPr>
      <w:rPr>
        <w:rFonts w:hint="default"/>
        <w:lang w:val="zh-CN" w:eastAsia="zh-CN" w:bidi="zh-CN"/>
      </w:rPr>
    </w:lvl>
  </w:abstractNum>
  <w:abstractNum w:abstractNumId="1">
    <w:nsid w:val="FCDA8EE1"/>
    <w:multiLevelType w:val="singleLevel"/>
    <w:tmpl w:val="FCDA8EE1"/>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561"/>
    <w:rsid w:val="00782877"/>
    <w:rsid w:val="00BF0A63"/>
    <w:rsid w:val="00E745C5"/>
    <w:rsid w:val="00F84561"/>
    <w:rsid w:val="024A5FC8"/>
    <w:rsid w:val="13B12A17"/>
    <w:rsid w:val="15F725D3"/>
    <w:rsid w:val="1D606F0C"/>
    <w:rsid w:val="22E037A4"/>
    <w:rsid w:val="234330C4"/>
    <w:rsid w:val="26F8467C"/>
    <w:rsid w:val="30673BFF"/>
    <w:rsid w:val="31512807"/>
    <w:rsid w:val="320811AC"/>
    <w:rsid w:val="33767D26"/>
    <w:rsid w:val="34050C07"/>
    <w:rsid w:val="3C97114B"/>
    <w:rsid w:val="4222052E"/>
    <w:rsid w:val="42C66D61"/>
    <w:rsid w:val="457B11B7"/>
    <w:rsid w:val="4BE32A36"/>
    <w:rsid w:val="5A483488"/>
    <w:rsid w:val="60471A93"/>
    <w:rsid w:val="6522019F"/>
    <w:rsid w:val="6FD83E3A"/>
    <w:rsid w:val="762D7C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qFormat/>
    <w:uiPriority w:val="1"/>
    <w:pPr>
      <w:ind w:left="254" w:right="415"/>
      <w:jc w:val="center"/>
      <w:outlineLvl w:val="0"/>
    </w:pPr>
    <w:rPr>
      <w:sz w:val="84"/>
      <w:szCs w:val="84"/>
    </w:rPr>
  </w:style>
  <w:style w:type="paragraph" w:styleId="3">
    <w:name w:val="heading 2"/>
    <w:basedOn w:val="1"/>
    <w:next w:val="1"/>
    <w:qFormat/>
    <w:uiPriority w:val="1"/>
    <w:pPr>
      <w:spacing w:line="922" w:lineRule="exact"/>
      <w:ind w:right="241"/>
      <w:jc w:val="center"/>
      <w:outlineLvl w:val="1"/>
    </w:pPr>
    <w:rPr>
      <w:rFonts w:ascii="黑体" w:hAnsi="黑体" w:eastAsia="黑体" w:cs="黑体"/>
      <w:sz w:val="72"/>
      <w:szCs w:val="72"/>
    </w:rPr>
  </w:style>
  <w:style w:type="paragraph" w:styleId="4">
    <w:name w:val="heading 3"/>
    <w:basedOn w:val="1"/>
    <w:next w:val="1"/>
    <w:qFormat/>
    <w:uiPriority w:val="1"/>
    <w:pPr>
      <w:spacing w:before="125"/>
      <w:jc w:val="center"/>
      <w:outlineLvl w:val="2"/>
    </w:pPr>
    <w:rPr>
      <w:sz w:val="36"/>
      <w:szCs w:val="36"/>
    </w:rPr>
  </w:style>
  <w:style w:type="paragraph" w:styleId="5">
    <w:name w:val="heading 4"/>
    <w:basedOn w:val="1"/>
    <w:next w:val="1"/>
    <w:link w:val="13"/>
    <w:qFormat/>
    <w:uiPriority w:val="1"/>
    <w:pPr>
      <w:ind w:left="747"/>
      <w:outlineLvl w:val="3"/>
    </w:pPr>
    <w:rPr>
      <w:rFonts w:ascii="Microsoft JhengHei" w:hAnsi="Microsoft JhengHei" w:eastAsia="Microsoft JhengHei" w:cs="Microsoft JhengHei"/>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6">
    <w:name w:val="Body Text"/>
    <w:basedOn w:val="1"/>
    <w:qFormat/>
    <w:uiPriority w:val="1"/>
    <w:rPr>
      <w:sz w:val="32"/>
      <w:szCs w:val="32"/>
    </w:rPr>
  </w:style>
  <w:style w:type="paragraph" w:styleId="7">
    <w:name w:val="Normal (Web)"/>
    <w:basedOn w:val="1"/>
    <w:qFormat/>
    <w:uiPriority w:val="0"/>
    <w:pPr>
      <w:widowControl/>
      <w:spacing w:before="100" w:beforeAutospacing="1" w:after="100" w:afterAutospacing="1"/>
    </w:pPr>
    <w:rPr>
      <w:sz w:val="24"/>
      <w:szCs w:val="24"/>
    </w:r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style>
  <w:style w:type="paragraph" w:customStyle="1" w:styleId="12">
    <w:name w:val="Table Paragraph"/>
    <w:basedOn w:val="1"/>
    <w:qFormat/>
    <w:uiPriority w:val="1"/>
    <w:rPr>
      <w:rFonts w:ascii="Times New Roman" w:hAnsi="Times New Roman" w:eastAsia="Times New Roman" w:cs="Times New Roman"/>
    </w:rPr>
  </w:style>
  <w:style w:type="character" w:customStyle="1" w:styleId="13">
    <w:name w:val="标题 4 Char"/>
    <w:link w:val="5"/>
    <w:qFormat/>
    <w:uiPriority w:val="1"/>
    <w:rPr>
      <w:rFonts w:ascii="Microsoft JhengHei" w:hAnsi="Microsoft JhengHei" w:eastAsia="Microsoft JhengHei" w:cs="Microsoft JhengHei"/>
      <w:b/>
      <w:bCs/>
      <w:sz w:val="32"/>
      <w:szCs w:val="32"/>
    </w:rPr>
  </w:style>
  <w:style w:type="character" w:customStyle="1" w:styleId="14">
    <w:name w:val="font81"/>
    <w:basedOn w:val="9"/>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36</Pages>
  <Words>2843</Words>
  <Characters>16207</Characters>
  <Lines>135</Lines>
  <Paragraphs>38</Paragraphs>
  <TotalTime>9</TotalTime>
  <ScaleCrop>false</ScaleCrop>
  <LinksUpToDate>false</LinksUpToDate>
  <CharactersWithSpaces>19012</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2021-06-01T07:30:00Z</dcterms:created>
  <dc:creator>李航 null</dc:creator>
  <cp:lastModifiedBy>daww</cp:lastModifiedBy>
  <cp:lastPrinted>2021-08-09T01:50:00Z</cp:lastPrinted>
  <dcterms:modified xsi:type="dcterms:W3CDTF">2021-08-09T08:17:11Z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2020-09-16T00:00:00Z</vt:filetime>
  </property>
  <property fmtid="{D5CDD505-2E9C-101B-9397-08002B2CF9AE}" pid="3" name="Creator">
    <vt:lpwstr>WPS 文字</vt:lpwstr>
  </property>
  <property fmtid="{D5CDD505-2E9C-101B-9397-08002B2CF9AE}" pid="4" name="LastSaved">
    <vt:filetime>2021-06-01T00:00:00Z</vt:filetime>
  </property>
  <property fmtid="{D5CDD505-2E9C-101B-9397-08002B2CF9AE}" pid="5" name="KSOProductBuildVer">
    <vt:lpwstr>2052-11.1.0.9739</vt:lpwstr>
  </property>
  <property fmtid="{D5CDD505-2E9C-101B-9397-08002B2CF9AE}" pid="6" name="ICV">
    <vt:lpwstr>552FD87DCFD1400AABB973C90C0B2B9A</vt:lpwstr>
  </property>
</Properties>
</file>