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00"/>
        </w:tabs>
        <w:jc w:val="center"/>
        <w:rPr>
          <w:rFonts w:eastAsia="黑体"/>
          <w:sz w:val="44"/>
          <w:szCs w:val="44"/>
        </w:rPr>
      </w:pPr>
    </w:p>
    <w:p>
      <w:pPr>
        <w:tabs>
          <w:tab w:val="left" w:pos="900"/>
        </w:tabs>
        <w:spacing w:line="500" w:lineRule="exact"/>
        <w:jc w:val="center"/>
        <w:rPr>
          <w:rFonts w:eastAsia="黑体"/>
          <w:sz w:val="44"/>
          <w:szCs w:val="44"/>
        </w:rPr>
      </w:pPr>
    </w:p>
    <w:p>
      <w:pPr>
        <w:spacing w:line="1400" w:lineRule="exact"/>
        <w:jc w:val="center"/>
        <w:rPr>
          <w:rFonts w:ascii="微软雅黑" w:hAnsi="微软雅黑" w:eastAsia="微软雅黑" w:cs="微软雅黑"/>
          <w:sz w:val="84"/>
          <w:szCs w:val="84"/>
        </w:rPr>
      </w:pPr>
    </w:p>
    <w:p>
      <w:pPr>
        <w:spacing w:line="1400" w:lineRule="exact"/>
        <w:jc w:val="center"/>
        <w:rPr>
          <w:rFonts w:ascii="微软雅黑" w:hAnsi="微软雅黑" w:eastAsia="微软雅黑" w:cs="微软雅黑"/>
          <w:sz w:val="84"/>
          <w:szCs w:val="84"/>
        </w:rPr>
      </w:pPr>
    </w:p>
    <w:p>
      <w:pPr>
        <w:spacing w:line="1400" w:lineRule="exact"/>
        <w:jc w:val="center"/>
        <w:rPr>
          <w:rFonts w:ascii="微软雅黑" w:hAnsi="微软雅黑" w:eastAsia="微软雅黑" w:cs="微软雅黑"/>
          <w:sz w:val="84"/>
          <w:szCs w:val="84"/>
        </w:rPr>
      </w:pPr>
    </w:p>
    <w:p>
      <w:pPr>
        <w:spacing w:line="1400" w:lineRule="exact"/>
        <w:jc w:val="center"/>
        <w:rPr>
          <w:rFonts w:ascii="微软雅黑" w:hAnsi="微软雅黑" w:eastAsia="微软雅黑" w:cs="微软雅黑"/>
          <w:sz w:val="84"/>
          <w:szCs w:val="84"/>
        </w:rPr>
      </w:pPr>
      <w:r>
        <w:rPr>
          <w:rFonts w:hint="eastAsia" w:ascii="微软雅黑" w:hAnsi="微软雅黑" w:eastAsia="微软雅黑" w:cs="微软雅黑"/>
          <w:sz w:val="84"/>
          <w:szCs w:val="84"/>
        </w:rPr>
        <w:t>2019年度</w:t>
      </w:r>
    </w:p>
    <w:p>
      <w:pPr>
        <w:spacing w:line="1400" w:lineRule="exact"/>
        <w:jc w:val="center"/>
        <w:rPr>
          <w:rFonts w:ascii="微软雅黑" w:hAnsi="微软雅黑" w:eastAsia="微软雅黑" w:cs="微软雅黑"/>
          <w:sz w:val="84"/>
          <w:szCs w:val="84"/>
        </w:rPr>
      </w:pPr>
      <w:r>
        <w:rPr>
          <w:rFonts w:hint="eastAsia" w:ascii="微软雅黑" w:hAnsi="微软雅黑" w:eastAsia="微软雅黑" w:cs="微软雅黑"/>
          <w:sz w:val="84"/>
          <w:szCs w:val="84"/>
        </w:rPr>
        <w:t>东安县机关事务服务中心部门预算</w:t>
      </w:r>
    </w:p>
    <w:p>
      <w:pPr>
        <w:tabs>
          <w:tab w:val="left" w:pos="900"/>
        </w:tabs>
        <w:spacing w:line="500" w:lineRule="exact"/>
        <w:jc w:val="center"/>
        <w:rPr>
          <w:rFonts w:eastAsia="黑体"/>
          <w:sz w:val="44"/>
          <w:szCs w:val="44"/>
        </w:rPr>
      </w:pPr>
      <w:r>
        <w:rPr>
          <w:rFonts w:hint="eastAsia" w:eastAsia="黑体"/>
          <w:sz w:val="44"/>
          <w:szCs w:val="44"/>
        </w:rPr>
        <w:br w:type="page"/>
      </w:r>
    </w:p>
    <w:p>
      <w:pPr>
        <w:tabs>
          <w:tab w:val="left" w:pos="900"/>
        </w:tabs>
        <w:spacing w:line="500" w:lineRule="exact"/>
        <w:jc w:val="center"/>
        <w:rPr>
          <w:rFonts w:eastAsia="黑体"/>
          <w:sz w:val="44"/>
          <w:szCs w:val="44"/>
        </w:rPr>
      </w:pPr>
    </w:p>
    <w:p>
      <w:pPr>
        <w:tabs>
          <w:tab w:val="left" w:pos="900"/>
        </w:tabs>
        <w:spacing w:line="500" w:lineRule="exact"/>
        <w:jc w:val="center"/>
        <w:rPr>
          <w:rFonts w:eastAsia="黑体"/>
          <w:sz w:val="44"/>
          <w:szCs w:val="44"/>
        </w:rPr>
      </w:pPr>
    </w:p>
    <w:p>
      <w:pPr>
        <w:tabs>
          <w:tab w:val="left" w:pos="900"/>
        </w:tabs>
        <w:spacing w:line="500" w:lineRule="exact"/>
        <w:jc w:val="center"/>
        <w:rPr>
          <w:rFonts w:eastAsia="黑体"/>
          <w:sz w:val="36"/>
          <w:szCs w:val="36"/>
        </w:rPr>
      </w:pPr>
      <w:r>
        <w:rPr>
          <w:rFonts w:hint="eastAsia" w:eastAsia="黑体"/>
          <w:sz w:val="36"/>
          <w:szCs w:val="36"/>
        </w:rPr>
        <w:t>东安</w:t>
      </w:r>
      <w:r>
        <w:rPr>
          <w:rFonts w:eastAsia="黑体"/>
          <w:sz w:val="36"/>
          <w:szCs w:val="36"/>
        </w:rPr>
        <w:t>县</w:t>
      </w:r>
      <w:r>
        <w:rPr>
          <w:rFonts w:hint="eastAsia" w:eastAsia="黑体"/>
          <w:sz w:val="36"/>
          <w:szCs w:val="36"/>
        </w:rPr>
        <w:t>机关事务服务中心</w:t>
      </w:r>
      <w:r>
        <w:rPr>
          <w:rFonts w:eastAsia="黑体"/>
          <w:sz w:val="36"/>
          <w:szCs w:val="36"/>
        </w:rPr>
        <w:t>2019年部门预算目</w:t>
      </w:r>
      <w:r>
        <w:rPr>
          <w:rFonts w:hint="eastAsia" w:eastAsia="黑体"/>
          <w:sz w:val="36"/>
          <w:szCs w:val="36"/>
        </w:rPr>
        <w:t>录</w:t>
      </w:r>
    </w:p>
    <w:p>
      <w:pPr>
        <w:spacing w:line="500" w:lineRule="exact"/>
        <w:jc w:val="left"/>
        <w:rPr>
          <w:rFonts w:ascii="宋体" w:hAnsi="宋体" w:cs="宋体"/>
          <w:sz w:val="32"/>
          <w:szCs w:val="32"/>
        </w:rPr>
      </w:pPr>
    </w:p>
    <w:p>
      <w:pPr>
        <w:spacing w:line="500" w:lineRule="exact"/>
        <w:rPr>
          <w:rFonts w:ascii="仿宋" w:hAnsi="仿宋" w:eastAsia="仿宋"/>
          <w:sz w:val="32"/>
          <w:szCs w:val="32"/>
        </w:rPr>
      </w:pPr>
      <w:r>
        <w:rPr>
          <w:rFonts w:hint="eastAsia" w:ascii="黑体" w:hAnsi="黑体" w:eastAsia="黑体" w:cs="黑体"/>
          <w:color w:val="000000"/>
          <w:kern w:val="0"/>
          <w:sz w:val="32"/>
          <w:szCs w:val="32"/>
        </w:rPr>
        <w:t>第一部分  2019年</w:t>
      </w:r>
      <w:r>
        <w:rPr>
          <w:rFonts w:hint="eastAsia" w:ascii="黑体" w:hAnsi="黑体" w:eastAsia="黑体"/>
          <w:sz w:val="32"/>
          <w:szCs w:val="32"/>
        </w:rPr>
        <w:t>部门预算说明</w:t>
      </w:r>
    </w:p>
    <w:p>
      <w:pPr>
        <w:spacing w:line="500" w:lineRule="exact"/>
        <w:rPr>
          <w:rFonts w:eastAsia="仿宋"/>
          <w:sz w:val="30"/>
          <w:szCs w:val="30"/>
        </w:rPr>
      </w:pPr>
      <w:r>
        <w:rPr>
          <w:rFonts w:hint="eastAsia" w:eastAsia="仿宋"/>
          <w:sz w:val="30"/>
          <w:szCs w:val="30"/>
        </w:rPr>
        <w:t>一、部门职责及机构设置</w:t>
      </w:r>
    </w:p>
    <w:p>
      <w:pPr>
        <w:spacing w:line="500" w:lineRule="exact"/>
        <w:rPr>
          <w:rFonts w:ascii="黑体" w:hAnsi="宋体" w:eastAsia="黑体" w:cs="宋体"/>
          <w:color w:val="000000"/>
          <w:kern w:val="0"/>
          <w:sz w:val="30"/>
          <w:szCs w:val="30"/>
        </w:rPr>
      </w:pPr>
      <w:r>
        <w:rPr>
          <w:rFonts w:hint="eastAsia" w:eastAsia="仿宋"/>
          <w:sz w:val="30"/>
          <w:szCs w:val="30"/>
        </w:rPr>
        <w:t>二、</w:t>
      </w:r>
      <w:r>
        <w:rPr>
          <w:rFonts w:hint="eastAsia" w:ascii="仿宋_GB2312" w:hAnsi="仿宋_GB2312" w:eastAsia="仿宋_GB2312" w:cs="仿宋_GB2312"/>
          <w:color w:val="000000"/>
          <w:kern w:val="0"/>
          <w:sz w:val="30"/>
          <w:szCs w:val="30"/>
        </w:rPr>
        <w:t>部门预算单位构成</w:t>
      </w:r>
    </w:p>
    <w:p>
      <w:pPr>
        <w:spacing w:line="500" w:lineRule="exact"/>
        <w:rPr>
          <w:rFonts w:eastAsia="仿宋"/>
          <w:sz w:val="30"/>
          <w:szCs w:val="30"/>
        </w:rPr>
      </w:pPr>
      <w:r>
        <w:rPr>
          <w:rFonts w:hint="eastAsia" w:eastAsia="仿宋"/>
          <w:sz w:val="30"/>
          <w:szCs w:val="30"/>
        </w:rPr>
        <w:t>三、部门收支总体情况</w:t>
      </w:r>
    </w:p>
    <w:p>
      <w:pPr>
        <w:spacing w:line="500" w:lineRule="exact"/>
        <w:rPr>
          <w:rFonts w:eastAsia="仿宋"/>
          <w:sz w:val="30"/>
          <w:szCs w:val="30"/>
        </w:rPr>
      </w:pPr>
      <w:r>
        <w:rPr>
          <w:rFonts w:hint="eastAsia" w:eastAsia="仿宋"/>
          <w:sz w:val="30"/>
          <w:szCs w:val="30"/>
        </w:rPr>
        <w:t>四、一般公共预算拨款支出预算</w:t>
      </w:r>
    </w:p>
    <w:p>
      <w:pPr>
        <w:spacing w:line="500" w:lineRule="exact"/>
        <w:rPr>
          <w:rFonts w:eastAsia="仿宋"/>
          <w:sz w:val="30"/>
          <w:szCs w:val="30"/>
        </w:rPr>
      </w:pPr>
      <w:r>
        <w:rPr>
          <w:rFonts w:hint="eastAsia" w:eastAsia="仿宋"/>
          <w:sz w:val="30"/>
          <w:szCs w:val="30"/>
        </w:rPr>
        <w:t>五、“三公”经费预算支出情况</w:t>
      </w:r>
    </w:p>
    <w:p>
      <w:pPr>
        <w:spacing w:line="500" w:lineRule="exact"/>
        <w:rPr>
          <w:rFonts w:eastAsia="仿宋"/>
          <w:sz w:val="30"/>
          <w:szCs w:val="30"/>
        </w:rPr>
      </w:pPr>
      <w:r>
        <w:rPr>
          <w:rFonts w:hint="eastAsia" w:eastAsia="仿宋"/>
          <w:sz w:val="30"/>
          <w:szCs w:val="30"/>
        </w:rPr>
        <w:t>六、政府性基金预算收入支出情况</w:t>
      </w:r>
    </w:p>
    <w:p>
      <w:pPr>
        <w:spacing w:line="500" w:lineRule="exact"/>
        <w:rPr>
          <w:rFonts w:eastAsia="仿宋"/>
          <w:sz w:val="30"/>
          <w:szCs w:val="30"/>
        </w:rPr>
      </w:pPr>
      <w:r>
        <w:rPr>
          <w:rFonts w:hint="eastAsia" w:eastAsia="仿宋"/>
          <w:sz w:val="30"/>
          <w:szCs w:val="30"/>
        </w:rPr>
        <w:t>七、其他重要事项的情况说明</w:t>
      </w:r>
    </w:p>
    <w:p>
      <w:pPr>
        <w:spacing w:line="500" w:lineRule="exact"/>
        <w:rPr>
          <w:rFonts w:eastAsia="仿宋"/>
          <w:sz w:val="30"/>
          <w:szCs w:val="30"/>
        </w:rPr>
      </w:pPr>
      <w:r>
        <w:rPr>
          <w:rFonts w:hint="eastAsia" w:eastAsia="仿宋"/>
          <w:sz w:val="30"/>
          <w:szCs w:val="30"/>
        </w:rPr>
        <w:t>八、名词解释</w:t>
      </w:r>
    </w:p>
    <w:p>
      <w:pPr>
        <w:spacing w:line="500" w:lineRule="exact"/>
        <w:rPr>
          <w:rFonts w:ascii="仿宋" w:hAnsi="仿宋" w:eastAsia="仿宋" w:cs="黑体"/>
          <w:color w:val="000000"/>
          <w:kern w:val="0"/>
          <w:sz w:val="32"/>
          <w:szCs w:val="32"/>
        </w:rPr>
      </w:pPr>
      <w:r>
        <w:rPr>
          <w:rFonts w:hint="eastAsia" w:ascii="黑体" w:hAnsi="黑体" w:eastAsia="黑体" w:cs="黑体"/>
          <w:color w:val="000000"/>
          <w:kern w:val="0"/>
          <w:sz w:val="32"/>
          <w:szCs w:val="32"/>
        </w:rPr>
        <w:t>第</w:t>
      </w:r>
      <w:r>
        <w:rPr>
          <w:rFonts w:ascii="黑体" w:hAnsi="黑体" w:eastAsia="黑体" w:cs="黑体"/>
          <w:color w:val="000000"/>
          <w:kern w:val="0"/>
          <w:sz w:val="32"/>
          <w:szCs w:val="32"/>
        </w:rPr>
        <w:t>二部分 201</w:t>
      </w:r>
      <w:r>
        <w:rPr>
          <w:rFonts w:hint="eastAsia" w:ascii="黑体" w:hAnsi="黑体" w:eastAsia="黑体" w:cs="黑体"/>
          <w:color w:val="000000"/>
          <w:kern w:val="0"/>
          <w:sz w:val="32"/>
          <w:szCs w:val="32"/>
        </w:rPr>
        <w:t>9</w:t>
      </w:r>
      <w:r>
        <w:rPr>
          <w:rFonts w:ascii="黑体" w:hAnsi="黑体" w:eastAsia="黑体" w:cs="黑体"/>
          <w:color w:val="000000"/>
          <w:kern w:val="0"/>
          <w:sz w:val="32"/>
          <w:szCs w:val="32"/>
        </w:rPr>
        <w:t xml:space="preserve"> 年度部门</w:t>
      </w:r>
      <w:r>
        <w:rPr>
          <w:rFonts w:hint="eastAsia" w:ascii="黑体" w:hAnsi="黑体" w:eastAsia="黑体" w:cs="黑体"/>
          <w:color w:val="000000"/>
          <w:kern w:val="0"/>
          <w:sz w:val="32"/>
          <w:szCs w:val="32"/>
        </w:rPr>
        <w:t>预</w:t>
      </w:r>
      <w:r>
        <w:rPr>
          <w:rFonts w:ascii="黑体" w:hAnsi="黑体" w:eastAsia="黑体" w:cs="黑体"/>
          <w:color w:val="000000"/>
          <w:kern w:val="0"/>
          <w:sz w:val="32"/>
          <w:szCs w:val="32"/>
        </w:rPr>
        <w:t>算表</w:t>
      </w:r>
    </w:p>
    <w:p>
      <w:pPr>
        <w:spacing w:line="500" w:lineRule="exact"/>
        <w:rPr>
          <w:rFonts w:eastAsia="仿宋"/>
          <w:sz w:val="30"/>
          <w:szCs w:val="30"/>
        </w:rPr>
      </w:pPr>
      <w:r>
        <w:rPr>
          <w:rFonts w:hint="eastAsia" w:eastAsia="仿宋"/>
          <w:sz w:val="30"/>
          <w:szCs w:val="30"/>
        </w:rPr>
        <w:t>1、部门财政补助收入测算表</w:t>
      </w:r>
    </w:p>
    <w:p>
      <w:pPr>
        <w:spacing w:line="500" w:lineRule="exact"/>
        <w:rPr>
          <w:rFonts w:eastAsia="仿宋"/>
          <w:sz w:val="30"/>
          <w:szCs w:val="30"/>
        </w:rPr>
      </w:pPr>
      <w:r>
        <w:rPr>
          <w:rFonts w:hint="eastAsia" w:eastAsia="仿宋"/>
          <w:sz w:val="30"/>
          <w:szCs w:val="30"/>
        </w:rPr>
        <w:t>2、部门支出预算表（政府经济分类）</w:t>
      </w:r>
    </w:p>
    <w:p>
      <w:pPr>
        <w:spacing w:line="500" w:lineRule="exact"/>
        <w:jc w:val="left"/>
        <w:rPr>
          <w:rFonts w:eastAsia="仿宋"/>
          <w:sz w:val="30"/>
          <w:szCs w:val="30"/>
        </w:rPr>
      </w:pPr>
      <w:r>
        <w:rPr>
          <w:rFonts w:hint="eastAsia" w:eastAsia="仿宋"/>
          <w:sz w:val="30"/>
          <w:szCs w:val="30"/>
        </w:rPr>
        <w:t>3、部门收支预算总表</w:t>
      </w:r>
    </w:p>
    <w:p>
      <w:pPr>
        <w:spacing w:line="500" w:lineRule="exact"/>
        <w:jc w:val="left"/>
        <w:rPr>
          <w:rFonts w:eastAsia="仿宋"/>
          <w:sz w:val="30"/>
          <w:szCs w:val="30"/>
        </w:rPr>
      </w:pPr>
      <w:r>
        <w:rPr>
          <w:rFonts w:hint="eastAsia" w:eastAsia="仿宋"/>
          <w:sz w:val="30"/>
          <w:szCs w:val="30"/>
        </w:rPr>
        <w:t>4、部门收入预算总表</w:t>
      </w:r>
    </w:p>
    <w:p>
      <w:pPr>
        <w:spacing w:line="500" w:lineRule="exact"/>
        <w:jc w:val="left"/>
        <w:rPr>
          <w:rFonts w:eastAsia="仿宋"/>
          <w:sz w:val="30"/>
          <w:szCs w:val="30"/>
        </w:rPr>
      </w:pPr>
      <w:r>
        <w:rPr>
          <w:rFonts w:hint="eastAsia" w:eastAsia="仿宋"/>
          <w:sz w:val="30"/>
          <w:szCs w:val="30"/>
        </w:rPr>
        <w:t>5、部门支出预算表</w:t>
      </w:r>
    </w:p>
    <w:p>
      <w:pPr>
        <w:spacing w:line="500" w:lineRule="exact"/>
        <w:jc w:val="left"/>
        <w:rPr>
          <w:rFonts w:eastAsia="仿宋"/>
          <w:sz w:val="30"/>
          <w:szCs w:val="30"/>
        </w:rPr>
      </w:pPr>
      <w:r>
        <w:rPr>
          <w:rFonts w:hint="eastAsia" w:eastAsia="仿宋"/>
          <w:sz w:val="30"/>
          <w:szCs w:val="30"/>
        </w:rPr>
        <w:t>6、财政拨款收支预算总表</w:t>
      </w:r>
    </w:p>
    <w:p>
      <w:pPr>
        <w:spacing w:line="500" w:lineRule="exact"/>
        <w:jc w:val="left"/>
        <w:rPr>
          <w:rFonts w:eastAsia="仿宋"/>
          <w:sz w:val="30"/>
          <w:szCs w:val="30"/>
        </w:rPr>
      </w:pPr>
      <w:r>
        <w:rPr>
          <w:rFonts w:hint="eastAsia" w:eastAsia="仿宋"/>
          <w:sz w:val="30"/>
          <w:szCs w:val="30"/>
        </w:rPr>
        <w:t>7、财政一般公共预算拨款支出预算分类汇总表</w:t>
      </w:r>
    </w:p>
    <w:p>
      <w:pPr>
        <w:spacing w:line="500" w:lineRule="exact"/>
        <w:jc w:val="left"/>
        <w:rPr>
          <w:rFonts w:eastAsia="仿宋"/>
          <w:sz w:val="30"/>
          <w:szCs w:val="30"/>
        </w:rPr>
      </w:pPr>
      <w:r>
        <w:rPr>
          <w:rFonts w:hint="eastAsia" w:eastAsia="仿宋"/>
          <w:sz w:val="30"/>
          <w:szCs w:val="30"/>
        </w:rPr>
        <w:t>8、一般公共预算基本支出表（经济分类见附表8-1、8-2、8-3）</w:t>
      </w:r>
    </w:p>
    <w:p>
      <w:pPr>
        <w:spacing w:line="500" w:lineRule="exact"/>
        <w:rPr>
          <w:rFonts w:eastAsia="仿宋"/>
          <w:sz w:val="30"/>
          <w:szCs w:val="30"/>
        </w:rPr>
      </w:pPr>
      <w:r>
        <w:rPr>
          <w:rFonts w:hint="eastAsia" w:eastAsia="仿宋"/>
          <w:sz w:val="30"/>
          <w:szCs w:val="30"/>
        </w:rPr>
        <w:t>8-1、一般公共预算基本支出--工资福利支出预算表</w:t>
      </w:r>
    </w:p>
    <w:p>
      <w:pPr>
        <w:spacing w:line="500" w:lineRule="exact"/>
        <w:rPr>
          <w:rFonts w:eastAsia="仿宋"/>
          <w:sz w:val="30"/>
          <w:szCs w:val="30"/>
        </w:rPr>
      </w:pPr>
      <w:r>
        <w:rPr>
          <w:rFonts w:hint="eastAsia" w:eastAsia="仿宋"/>
          <w:sz w:val="30"/>
          <w:szCs w:val="30"/>
        </w:rPr>
        <w:t>8-2、一般公共预算基本支出--一般商品和服务支出预算表</w:t>
      </w:r>
    </w:p>
    <w:p>
      <w:pPr>
        <w:spacing w:line="500" w:lineRule="exact"/>
        <w:rPr>
          <w:rFonts w:eastAsia="仿宋"/>
          <w:sz w:val="30"/>
          <w:szCs w:val="30"/>
        </w:rPr>
      </w:pPr>
      <w:r>
        <w:rPr>
          <w:rFonts w:hint="eastAsia" w:eastAsia="仿宋"/>
          <w:sz w:val="30"/>
          <w:szCs w:val="30"/>
        </w:rPr>
        <w:t>8-3、一般公共预算基本支出--对个人和家庭的补助支出预算表</w:t>
      </w:r>
    </w:p>
    <w:p>
      <w:pPr>
        <w:spacing w:line="500" w:lineRule="exact"/>
        <w:rPr>
          <w:rFonts w:eastAsia="仿宋"/>
          <w:sz w:val="30"/>
          <w:szCs w:val="30"/>
        </w:rPr>
      </w:pPr>
      <w:r>
        <w:rPr>
          <w:rFonts w:hint="eastAsia" w:eastAsia="仿宋"/>
          <w:sz w:val="30"/>
          <w:szCs w:val="30"/>
        </w:rPr>
        <w:t>9、县级财政政府性基金拨款县级支出预算分类汇总表（空）</w:t>
      </w:r>
    </w:p>
    <w:p>
      <w:pPr>
        <w:spacing w:line="500" w:lineRule="exact"/>
        <w:rPr>
          <w:rFonts w:eastAsia="仿宋"/>
          <w:sz w:val="30"/>
          <w:szCs w:val="30"/>
        </w:rPr>
      </w:pPr>
      <w:r>
        <w:rPr>
          <w:rFonts w:hint="eastAsia" w:eastAsia="仿宋"/>
          <w:sz w:val="30"/>
          <w:szCs w:val="30"/>
        </w:rPr>
        <w:t>10、县直部门“三公”经费预算及相关信息统计表</w:t>
      </w:r>
    </w:p>
    <w:p>
      <w:pPr>
        <w:spacing w:line="500" w:lineRule="exact"/>
        <w:rPr>
          <w:rFonts w:eastAsia="仿宋"/>
          <w:sz w:val="30"/>
          <w:szCs w:val="30"/>
        </w:rPr>
      </w:pPr>
      <w:r>
        <w:rPr>
          <w:rFonts w:hint="eastAsia" w:eastAsia="仿宋"/>
          <w:sz w:val="30"/>
          <w:szCs w:val="30"/>
        </w:rPr>
        <w:t xml:space="preserve">11、部门政府采购预算表 </w:t>
      </w:r>
    </w:p>
    <w:p>
      <w:pPr>
        <w:spacing w:line="500" w:lineRule="exact"/>
        <w:rPr>
          <w:rFonts w:eastAsia="仿宋"/>
          <w:sz w:val="30"/>
          <w:szCs w:val="30"/>
        </w:rPr>
      </w:pPr>
      <w:r>
        <w:rPr>
          <w:rFonts w:hint="eastAsia" w:eastAsia="仿宋"/>
          <w:sz w:val="30"/>
          <w:szCs w:val="30"/>
        </w:rPr>
        <w:t>12、单位人员情况表</w:t>
      </w:r>
    </w:p>
    <w:p>
      <w:pPr>
        <w:spacing w:line="500" w:lineRule="exact"/>
        <w:rPr>
          <w:rFonts w:eastAsia="仿宋"/>
          <w:sz w:val="30"/>
          <w:szCs w:val="30"/>
        </w:rPr>
      </w:pPr>
      <w:r>
        <w:rPr>
          <w:rFonts w:hint="eastAsia" w:eastAsia="仿宋"/>
          <w:sz w:val="30"/>
          <w:szCs w:val="30"/>
        </w:rPr>
        <w:t>13、资本性支出（空）</w:t>
      </w:r>
    </w:p>
    <w:p>
      <w:pPr>
        <w:spacing w:line="500" w:lineRule="exact"/>
        <w:rPr>
          <w:rFonts w:eastAsia="仿宋"/>
          <w:sz w:val="30"/>
          <w:szCs w:val="30"/>
        </w:rPr>
      </w:pPr>
      <w:r>
        <w:rPr>
          <w:rFonts w:hint="eastAsia" w:eastAsia="仿宋"/>
          <w:sz w:val="30"/>
          <w:szCs w:val="30"/>
        </w:rPr>
        <w:t>14、县级非税收入执收成本项目申报表（空）</w:t>
      </w:r>
    </w:p>
    <w:p>
      <w:pPr>
        <w:spacing w:line="500" w:lineRule="exact"/>
        <w:rPr>
          <w:rFonts w:eastAsia="仿宋"/>
          <w:sz w:val="30"/>
          <w:szCs w:val="30"/>
        </w:rPr>
      </w:pPr>
      <w:r>
        <w:rPr>
          <w:rFonts w:hint="eastAsia" w:eastAsia="仿宋"/>
          <w:sz w:val="30"/>
          <w:szCs w:val="30"/>
        </w:rPr>
        <w:t>15、非税收入征收计划表（空）</w:t>
      </w:r>
    </w:p>
    <w:p>
      <w:pPr>
        <w:widowControl/>
        <w:spacing w:line="600" w:lineRule="exact"/>
        <w:ind w:firstLine="660"/>
        <w:jc w:val="left"/>
        <w:rPr>
          <w:rFonts w:ascii="黑体" w:hAnsi="黑体" w:eastAsia="黑体"/>
          <w:sz w:val="32"/>
          <w:szCs w:val="32"/>
        </w:rPr>
      </w:pPr>
    </w:p>
    <w:p>
      <w:pPr>
        <w:widowControl/>
        <w:spacing w:line="600" w:lineRule="exact"/>
        <w:ind w:firstLine="660"/>
        <w:jc w:val="left"/>
        <w:rPr>
          <w:rFonts w:ascii="黑体" w:hAnsi="黑体" w:eastAsia="黑体"/>
          <w:sz w:val="32"/>
          <w:szCs w:val="32"/>
        </w:rPr>
      </w:pPr>
    </w:p>
    <w:p>
      <w:pPr>
        <w:widowControl/>
        <w:spacing w:line="600" w:lineRule="exact"/>
        <w:ind w:firstLine="660"/>
        <w:jc w:val="left"/>
        <w:rPr>
          <w:rFonts w:ascii="黑体" w:hAnsi="黑体" w:eastAsia="黑体"/>
          <w:sz w:val="32"/>
          <w:szCs w:val="32"/>
        </w:rPr>
      </w:pPr>
    </w:p>
    <w:p>
      <w:pPr>
        <w:widowControl/>
        <w:spacing w:line="600" w:lineRule="exact"/>
        <w:ind w:firstLine="660"/>
        <w:jc w:val="left"/>
        <w:rPr>
          <w:rFonts w:ascii="黑体" w:hAnsi="黑体" w:eastAsia="黑体"/>
          <w:sz w:val="32"/>
          <w:szCs w:val="32"/>
        </w:rPr>
      </w:pPr>
    </w:p>
    <w:p>
      <w:pPr>
        <w:widowControl/>
        <w:spacing w:line="600" w:lineRule="exact"/>
        <w:ind w:firstLine="660"/>
        <w:jc w:val="left"/>
        <w:rPr>
          <w:rFonts w:ascii="黑体" w:hAnsi="黑体" w:eastAsia="黑体"/>
          <w:sz w:val="32"/>
          <w:szCs w:val="32"/>
        </w:rPr>
      </w:pPr>
    </w:p>
    <w:p>
      <w:pPr>
        <w:widowControl/>
        <w:spacing w:line="600" w:lineRule="exact"/>
        <w:ind w:firstLine="660"/>
        <w:jc w:val="left"/>
        <w:rPr>
          <w:rFonts w:ascii="黑体" w:hAnsi="黑体" w:eastAsia="黑体"/>
          <w:sz w:val="32"/>
          <w:szCs w:val="32"/>
        </w:rPr>
      </w:pPr>
    </w:p>
    <w:p>
      <w:pPr>
        <w:widowControl/>
        <w:spacing w:line="600" w:lineRule="exact"/>
        <w:ind w:firstLine="660"/>
        <w:jc w:val="left"/>
        <w:rPr>
          <w:rFonts w:ascii="黑体" w:hAnsi="黑体" w:eastAsia="黑体"/>
          <w:sz w:val="32"/>
          <w:szCs w:val="32"/>
        </w:rPr>
      </w:pPr>
      <w:r>
        <w:rPr>
          <w:rFonts w:hint="eastAsia" w:ascii="黑体" w:hAnsi="黑体" w:eastAsia="黑体"/>
          <w:sz w:val="32"/>
          <w:szCs w:val="32"/>
        </w:rPr>
        <w:br w:type="page"/>
      </w:r>
      <w:r>
        <w:rPr>
          <w:rFonts w:hint="eastAsia" w:ascii="黑体" w:hAnsi="黑体" w:eastAsia="黑体"/>
          <w:sz w:val="32"/>
          <w:szCs w:val="32"/>
        </w:rPr>
        <w:t xml:space="preserve"> 第一部分  县机关事务服务中心</w:t>
      </w:r>
      <w:r>
        <w:rPr>
          <w:rFonts w:ascii="黑体" w:hAnsi="黑体" w:eastAsia="黑体"/>
          <w:sz w:val="32"/>
          <w:szCs w:val="32"/>
        </w:rPr>
        <w:t>201</w:t>
      </w:r>
      <w:r>
        <w:rPr>
          <w:rFonts w:hint="eastAsia" w:ascii="黑体" w:hAnsi="黑体" w:eastAsia="黑体"/>
          <w:sz w:val="32"/>
          <w:szCs w:val="32"/>
        </w:rPr>
        <w:t>9</w:t>
      </w:r>
      <w:r>
        <w:rPr>
          <w:rFonts w:ascii="黑体" w:hAnsi="黑体" w:eastAsia="黑体"/>
          <w:sz w:val="32"/>
          <w:szCs w:val="32"/>
        </w:rPr>
        <w:t>年</w:t>
      </w:r>
      <w:r>
        <w:rPr>
          <w:rFonts w:hint="eastAsia" w:ascii="黑体" w:hAnsi="黑体" w:eastAsia="黑体"/>
          <w:sz w:val="32"/>
          <w:szCs w:val="32"/>
        </w:rPr>
        <w:t>部门</w:t>
      </w:r>
      <w:r>
        <w:rPr>
          <w:rFonts w:ascii="黑体" w:hAnsi="黑体" w:eastAsia="黑体"/>
          <w:sz w:val="32"/>
          <w:szCs w:val="32"/>
        </w:rPr>
        <w:t>预算说明</w:t>
      </w:r>
    </w:p>
    <w:p>
      <w:pPr>
        <w:spacing w:line="560" w:lineRule="exact"/>
        <w:ind w:firstLine="627" w:firstLineChars="196"/>
        <w:rPr>
          <w:rFonts w:ascii="黑体" w:hAnsi="黑体" w:eastAsia="黑体"/>
          <w:sz w:val="32"/>
          <w:szCs w:val="32"/>
        </w:rPr>
      </w:pPr>
    </w:p>
    <w:p>
      <w:pPr>
        <w:spacing w:line="560" w:lineRule="exact"/>
        <w:ind w:firstLine="630" w:firstLineChars="196"/>
        <w:rPr>
          <w:rFonts w:ascii="仿宋" w:hAnsi="仿宋" w:eastAsia="仿宋"/>
          <w:b/>
          <w:sz w:val="32"/>
          <w:szCs w:val="32"/>
        </w:rPr>
      </w:pPr>
      <w:r>
        <w:rPr>
          <w:rFonts w:hint="eastAsia" w:ascii="仿宋" w:hAnsi="仿宋" w:eastAsia="仿宋"/>
          <w:b/>
          <w:sz w:val="32"/>
          <w:szCs w:val="32"/>
        </w:rPr>
        <w:t>一、部门基本概况</w:t>
      </w:r>
    </w:p>
    <w:p>
      <w:pPr>
        <w:spacing w:line="560" w:lineRule="exact"/>
        <w:ind w:firstLine="630" w:firstLineChars="196"/>
        <w:rPr>
          <w:rFonts w:ascii="仿宋" w:hAnsi="仿宋" w:eastAsia="仿宋"/>
          <w:b/>
          <w:sz w:val="32"/>
          <w:szCs w:val="32"/>
        </w:rPr>
      </w:pPr>
      <w:r>
        <w:rPr>
          <w:rFonts w:hint="eastAsia" w:ascii="仿宋" w:hAnsi="仿宋" w:eastAsia="仿宋"/>
          <w:b/>
          <w:sz w:val="32"/>
          <w:szCs w:val="32"/>
        </w:rPr>
        <w:t>（一）机构职能</w:t>
      </w:r>
    </w:p>
    <w:p>
      <w:pPr>
        <w:ind w:firstLine="640" w:firstLineChars="200"/>
        <w:rPr>
          <w:rFonts w:ascii="仿宋" w:hAnsi="仿宋" w:eastAsia="仿宋"/>
          <w:sz w:val="32"/>
          <w:szCs w:val="32"/>
        </w:rPr>
      </w:pPr>
      <w:r>
        <w:rPr>
          <w:rFonts w:hint="eastAsia" w:eastAsia="仿宋"/>
          <w:sz w:val="32"/>
          <w:szCs w:val="32"/>
        </w:rPr>
        <w:t>根据县委、县政府有关政策，结合实际，研究制订有关东安县机关事务服务工作的具体管理制度并组织实施；负责全县性会议服务和东安会堂、机关食堂的服务管理工作；负责县行政中心大楼及机关大院内的安全保卫、消防预防以及公共设备的安装、维护、运行等工作；负责县行政中心大楼及机关院内的房屋基建、水电、园林绿化、环境卫生等服务性事务管理工作；负责全县公务用车的调配、维护保养，公务用车的司乘人员的管理等工作；参与、协助县行政中心大楼“四大家”的精神文明建设、社会治安综合治理、环境秩序维护等工作；负责县委、县人大、县政府、县政协领导交办的其他工作事项</w:t>
      </w:r>
      <w:r>
        <w:rPr>
          <w:rFonts w:hint="eastAsia" w:ascii="仿宋" w:hAnsi="仿宋" w:eastAsia="仿宋"/>
          <w:sz w:val="32"/>
          <w:szCs w:val="32"/>
        </w:rPr>
        <w:t>。</w:t>
      </w:r>
    </w:p>
    <w:p>
      <w:pPr>
        <w:spacing w:line="560" w:lineRule="exact"/>
        <w:ind w:firstLine="630" w:firstLineChars="196"/>
        <w:rPr>
          <w:rFonts w:ascii="仿宋" w:hAnsi="仿宋" w:eastAsia="仿宋"/>
          <w:b/>
          <w:sz w:val="32"/>
          <w:szCs w:val="32"/>
        </w:rPr>
      </w:pPr>
      <w:r>
        <w:rPr>
          <w:rFonts w:hint="eastAsia" w:ascii="仿宋" w:hAnsi="仿宋" w:eastAsia="仿宋"/>
          <w:b/>
          <w:sz w:val="32"/>
          <w:szCs w:val="32"/>
        </w:rPr>
        <w:t>（二）部门机构设置</w:t>
      </w:r>
    </w:p>
    <w:p>
      <w:pPr>
        <w:spacing w:line="460" w:lineRule="exact"/>
        <w:ind w:firstLine="640" w:firstLineChars="200"/>
        <w:rPr>
          <w:rFonts w:ascii="仿宋_GB2312" w:hAnsi="仿宋" w:eastAsia="仿宋_GB2312"/>
          <w:sz w:val="32"/>
          <w:szCs w:val="32"/>
        </w:rPr>
      </w:pPr>
      <w:r>
        <w:rPr>
          <w:rFonts w:hint="eastAsia" w:ascii="仿宋" w:hAnsi="仿宋" w:eastAsia="仿宋"/>
          <w:sz w:val="32"/>
          <w:szCs w:val="32"/>
        </w:rPr>
        <w:t>机关事务服务中心内设机构分为：办公室、财务室、水电动力股、保卫股、综合服务股、园林环卫股，归口管理人民公园管理所、党政机关公务用车服务中心。</w:t>
      </w:r>
      <w:r>
        <w:rPr>
          <w:rFonts w:hint="eastAsia" w:ascii="仿宋_GB2312" w:hAnsi="仿宋" w:eastAsia="仿宋_GB2312"/>
          <w:sz w:val="32"/>
          <w:szCs w:val="32"/>
        </w:rPr>
        <w:t>，实有在职干部职工19人，其中：行政人员10人，事业人员3人，工勤人员6人。公务用车0辆。</w:t>
      </w:r>
    </w:p>
    <w:p>
      <w:pPr>
        <w:ind w:firstLine="640" w:firstLineChars="200"/>
        <w:rPr>
          <w:rFonts w:ascii="仿宋" w:hAnsi="仿宋" w:eastAsia="仿宋"/>
          <w:sz w:val="32"/>
          <w:szCs w:val="32"/>
        </w:rPr>
      </w:pPr>
    </w:p>
    <w:p>
      <w:pPr>
        <w:spacing w:line="560" w:lineRule="exact"/>
        <w:ind w:firstLine="630" w:firstLineChars="196"/>
        <w:rPr>
          <w:rFonts w:ascii="仿宋" w:hAnsi="仿宋" w:eastAsia="仿宋"/>
          <w:b/>
          <w:sz w:val="32"/>
          <w:szCs w:val="32"/>
        </w:rPr>
      </w:pPr>
      <w:r>
        <w:rPr>
          <w:rFonts w:hint="eastAsia" w:ascii="仿宋" w:hAnsi="仿宋" w:eastAsia="仿宋"/>
          <w:b/>
          <w:sz w:val="32"/>
          <w:szCs w:val="32"/>
        </w:rPr>
        <w:t>二、部门预算单位构成</w:t>
      </w:r>
    </w:p>
    <w:p>
      <w:pPr>
        <w:ind w:firstLine="640" w:firstLineChars="200"/>
        <w:rPr>
          <w:rFonts w:ascii="仿宋" w:hAnsi="仿宋" w:eastAsia="仿宋"/>
          <w:sz w:val="32"/>
          <w:szCs w:val="32"/>
        </w:rPr>
      </w:pPr>
      <w:r>
        <w:rPr>
          <w:rFonts w:hint="eastAsia" w:ascii="仿宋" w:hAnsi="仿宋" w:eastAsia="仿宋"/>
          <w:sz w:val="32"/>
          <w:szCs w:val="32"/>
        </w:rPr>
        <w:t>我办无二级预算单位，因此，纳入 2019年部门预算编制范围的为东安县机关事务服务中心本级。</w:t>
      </w:r>
    </w:p>
    <w:p>
      <w:pPr>
        <w:spacing w:line="560" w:lineRule="exact"/>
        <w:ind w:firstLine="630" w:firstLineChars="196"/>
        <w:rPr>
          <w:rFonts w:ascii="仿宋" w:hAnsi="仿宋" w:eastAsia="仿宋"/>
          <w:b/>
          <w:sz w:val="32"/>
          <w:szCs w:val="32"/>
        </w:rPr>
      </w:pPr>
      <w:r>
        <w:rPr>
          <w:rFonts w:hint="eastAsia" w:ascii="仿宋" w:hAnsi="仿宋" w:eastAsia="仿宋"/>
          <w:b/>
          <w:sz w:val="32"/>
          <w:szCs w:val="32"/>
        </w:rPr>
        <w:t>三、部门收支总体情况</w:t>
      </w:r>
    </w:p>
    <w:p>
      <w:pPr>
        <w:ind w:firstLine="640" w:firstLineChars="200"/>
        <w:rPr>
          <w:rFonts w:ascii="仿宋" w:hAnsi="仿宋" w:eastAsia="仿宋" w:cs="仿宋"/>
          <w:sz w:val="32"/>
          <w:szCs w:val="32"/>
        </w:rPr>
      </w:pPr>
      <w:r>
        <w:rPr>
          <w:rFonts w:hint="eastAsia" w:ascii="仿宋" w:hAnsi="仿宋" w:eastAsia="仿宋" w:cs="仿宋"/>
          <w:sz w:val="32"/>
          <w:szCs w:val="32"/>
        </w:rPr>
        <w:t>2019年部门预算即我中心本级预算。我中心2019年没有政府性基金预算拨款、国有资本经营预算收入和纳入专户管理的非税收入拨款收入，也没有使用政府性基金预算拨款、国有资本经营预算收入和纳入专户管理的非税收入拨款安排的支出, 所以公开的附件9、13、14、15 表均为空。</w:t>
      </w:r>
    </w:p>
    <w:p>
      <w:pPr>
        <w:numPr>
          <w:ilvl w:val="0"/>
          <w:numId w:val="1"/>
        </w:numPr>
        <w:ind w:firstLine="643" w:firstLineChars="200"/>
        <w:rPr>
          <w:rFonts w:ascii="仿宋_GB2312" w:eastAsia="仿宋_GB2312"/>
          <w:sz w:val="32"/>
          <w:szCs w:val="32"/>
        </w:rPr>
      </w:pPr>
      <w:r>
        <w:rPr>
          <w:rFonts w:hint="eastAsia" w:ascii="仿宋_GB2312" w:eastAsia="仿宋_GB2312"/>
          <w:b/>
          <w:sz w:val="32"/>
          <w:szCs w:val="32"/>
        </w:rPr>
        <w:t>收入预算：</w:t>
      </w:r>
      <w:r>
        <w:rPr>
          <w:rFonts w:hint="eastAsia" w:ascii="仿宋_GB2312" w:eastAsia="仿宋_GB2312"/>
          <w:sz w:val="32"/>
          <w:szCs w:val="32"/>
        </w:rPr>
        <w:t>2019年收入预算数303</w:t>
      </w:r>
      <w:r>
        <w:rPr>
          <w:rFonts w:ascii="仿宋_GB2312" w:eastAsia="仿宋_GB2312"/>
          <w:sz w:val="32"/>
          <w:szCs w:val="32"/>
        </w:rPr>
        <w:t>.</w:t>
      </w:r>
      <w:r>
        <w:rPr>
          <w:rFonts w:hint="eastAsia" w:ascii="仿宋_GB2312" w:eastAsia="仿宋_GB2312"/>
          <w:sz w:val="32"/>
          <w:szCs w:val="32"/>
        </w:rPr>
        <w:t>9324万元，其中，一般公共预算拨款303</w:t>
      </w:r>
      <w:r>
        <w:rPr>
          <w:rFonts w:ascii="仿宋_GB2312" w:eastAsia="仿宋_GB2312"/>
          <w:sz w:val="32"/>
          <w:szCs w:val="32"/>
        </w:rPr>
        <w:t>.</w:t>
      </w:r>
      <w:r>
        <w:rPr>
          <w:rFonts w:hint="eastAsia" w:ascii="仿宋_GB2312" w:eastAsia="仿宋_GB2312"/>
          <w:sz w:val="32"/>
          <w:szCs w:val="32"/>
        </w:rPr>
        <w:t>9324万元，比2018年预算总收入276.1136万元增加27.8188万元，主要是人员经费增加。</w:t>
      </w:r>
    </w:p>
    <w:p>
      <w:pPr>
        <w:numPr>
          <w:ilvl w:val="0"/>
          <w:numId w:val="1"/>
        </w:numPr>
        <w:ind w:firstLine="643" w:firstLineChars="200"/>
        <w:rPr>
          <w:rFonts w:ascii="仿宋_GB2312" w:eastAsia="仿宋_GB2312"/>
          <w:sz w:val="32"/>
          <w:szCs w:val="32"/>
        </w:rPr>
      </w:pPr>
      <w:r>
        <w:rPr>
          <w:rFonts w:hint="eastAsia" w:ascii="仿宋_GB2312" w:eastAsia="仿宋_GB2312"/>
          <w:b/>
          <w:sz w:val="32"/>
          <w:szCs w:val="32"/>
        </w:rPr>
        <w:t>支出预算：</w:t>
      </w:r>
      <w:r>
        <w:rPr>
          <w:rFonts w:hint="eastAsia" w:ascii="仿宋_GB2312" w:eastAsia="仿宋_GB2312"/>
          <w:sz w:val="32"/>
          <w:szCs w:val="32"/>
        </w:rPr>
        <w:t>2019年支出预算数303</w:t>
      </w:r>
      <w:r>
        <w:rPr>
          <w:rFonts w:ascii="仿宋_GB2312" w:eastAsia="仿宋_GB2312"/>
          <w:sz w:val="32"/>
          <w:szCs w:val="32"/>
        </w:rPr>
        <w:t>.</w:t>
      </w:r>
      <w:r>
        <w:rPr>
          <w:rFonts w:hint="eastAsia" w:ascii="仿宋_GB2312" w:eastAsia="仿宋_GB2312"/>
          <w:sz w:val="32"/>
          <w:szCs w:val="32"/>
        </w:rPr>
        <w:t>9324万元，其中，一般公共服务303</w:t>
      </w:r>
      <w:r>
        <w:rPr>
          <w:rFonts w:ascii="仿宋_GB2312" w:eastAsia="仿宋_GB2312"/>
          <w:sz w:val="32"/>
          <w:szCs w:val="32"/>
        </w:rPr>
        <w:t>.</w:t>
      </w:r>
      <w:r>
        <w:rPr>
          <w:rFonts w:hint="eastAsia" w:ascii="仿宋_GB2312" w:eastAsia="仿宋_GB2312"/>
          <w:sz w:val="32"/>
          <w:szCs w:val="32"/>
        </w:rPr>
        <w:t>9324万元。比2018年支出276.1136万元增加27.8188万元，其中基本支出增加27.8188万元，项目支出无增加。主要是人员经费增加。</w:t>
      </w:r>
    </w:p>
    <w:p>
      <w:pPr>
        <w:numPr>
          <w:ilvl w:val="0"/>
          <w:numId w:val="2"/>
        </w:numPr>
        <w:spacing w:line="560" w:lineRule="exact"/>
        <w:ind w:firstLine="630" w:firstLineChars="196"/>
        <w:rPr>
          <w:rFonts w:ascii="仿宋" w:hAnsi="仿宋" w:eastAsia="仿宋"/>
          <w:b/>
          <w:sz w:val="32"/>
          <w:szCs w:val="32"/>
        </w:rPr>
      </w:pPr>
      <w:r>
        <w:rPr>
          <w:rFonts w:hint="eastAsia" w:ascii="仿宋" w:hAnsi="仿宋" w:eastAsia="仿宋"/>
          <w:b/>
          <w:sz w:val="32"/>
          <w:szCs w:val="32"/>
        </w:rPr>
        <w:t>一般公共预算拨款支出预算</w:t>
      </w:r>
    </w:p>
    <w:p>
      <w:pPr>
        <w:ind w:firstLine="640" w:firstLineChars="200"/>
        <w:rPr>
          <w:rFonts w:ascii="仿宋_GB2312" w:eastAsia="仿宋_GB2312"/>
          <w:sz w:val="32"/>
          <w:szCs w:val="32"/>
        </w:rPr>
      </w:pPr>
      <w:r>
        <w:rPr>
          <w:rFonts w:hint="eastAsia" w:ascii="仿宋_GB2312" w:eastAsia="仿宋_GB2312"/>
          <w:sz w:val="32"/>
          <w:szCs w:val="32"/>
        </w:rPr>
        <w:t>2019 年一般公共预算拨款收入303</w:t>
      </w:r>
      <w:r>
        <w:rPr>
          <w:rFonts w:ascii="仿宋_GB2312" w:eastAsia="仿宋_GB2312"/>
          <w:sz w:val="32"/>
          <w:szCs w:val="32"/>
        </w:rPr>
        <w:t>.</w:t>
      </w:r>
      <w:r>
        <w:rPr>
          <w:rFonts w:hint="eastAsia" w:ascii="仿宋_GB2312" w:eastAsia="仿宋_GB2312"/>
          <w:sz w:val="32"/>
          <w:szCs w:val="32"/>
        </w:rPr>
        <w:t>9324万元，具体安排如下：</w:t>
      </w:r>
    </w:p>
    <w:p>
      <w:pPr>
        <w:ind w:firstLine="640" w:firstLineChars="200"/>
        <w:rPr>
          <w:rFonts w:ascii="仿宋_GB2312" w:eastAsia="仿宋_GB2312"/>
          <w:sz w:val="32"/>
          <w:szCs w:val="32"/>
        </w:rPr>
      </w:pPr>
      <w:r>
        <w:rPr>
          <w:rFonts w:hint="eastAsia" w:ascii="仿宋_GB2312" w:eastAsia="仿宋_GB2312"/>
          <w:sz w:val="32"/>
          <w:szCs w:val="32"/>
        </w:rPr>
        <w:t>（一）基本支出：2019年基本支出年初预算数为303</w:t>
      </w:r>
      <w:r>
        <w:rPr>
          <w:rFonts w:ascii="仿宋_GB2312" w:eastAsia="仿宋_GB2312"/>
          <w:sz w:val="32"/>
          <w:szCs w:val="32"/>
        </w:rPr>
        <w:t>.</w:t>
      </w:r>
      <w:r>
        <w:rPr>
          <w:rFonts w:hint="eastAsia" w:ascii="仿宋_GB2312" w:eastAsia="仿宋_GB2312"/>
          <w:sz w:val="32"/>
          <w:szCs w:val="32"/>
        </w:rPr>
        <w:t>9324万元，是指为保障单位机构正常运转、完成日常工作任务而发生的各项支出，包括用于基本工资、津贴补贴等人员经费以及办公费、印刷费、水电费、其他交通费、工会经费、专用材料等日常公用经费。</w:t>
      </w:r>
    </w:p>
    <w:p>
      <w:pPr>
        <w:ind w:firstLine="640" w:firstLineChars="200"/>
        <w:rPr>
          <w:rFonts w:ascii="仿宋_GB2312" w:eastAsia="仿宋_GB2312"/>
          <w:sz w:val="32"/>
          <w:szCs w:val="32"/>
        </w:rPr>
      </w:pPr>
      <w:r>
        <w:rPr>
          <w:rFonts w:hint="eastAsia" w:ascii="仿宋_GB2312" w:eastAsia="仿宋_GB2312"/>
          <w:sz w:val="32"/>
          <w:szCs w:val="32"/>
        </w:rPr>
        <w:t>（二）项目支出：无。</w:t>
      </w:r>
    </w:p>
    <w:p>
      <w:pPr>
        <w:numPr>
          <w:ilvl w:val="0"/>
          <w:numId w:val="2"/>
        </w:numPr>
        <w:spacing w:line="560" w:lineRule="exact"/>
        <w:ind w:firstLine="630" w:firstLineChars="196"/>
        <w:rPr>
          <w:rFonts w:ascii="仿宋" w:hAnsi="仿宋" w:eastAsia="仿宋"/>
          <w:b/>
          <w:sz w:val="32"/>
          <w:szCs w:val="32"/>
        </w:rPr>
      </w:pPr>
      <w:r>
        <w:rPr>
          <w:rFonts w:hint="eastAsia" w:ascii="仿宋" w:hAnsi="仿宋" w:eastAsia="仿宋"/>
          <w:b/>
          <w:sz w:val="32"/>
          <w:szCs w:val="32"/>
        </w:rPr>
        <w:t>“三公”经费预算支出情况</w:t>
      </w:r>
    </w:p>
    <w:p>
      <w:pPr>
        <w:spacing w:line="560" w:lineRule="exact"/>
        <w:ind w:firstLine="660"/>
        <w:rPr>
          <w:rFonts w:hint="eastAsia" w:ascii="仿宋_GB2312" w:eastAsia="仿宋_GB2312"/>
          <w:sz w:val="32"/>
          <w:szCs w:val="32"/>
        </w:rPr>
      </w:pPr>
      <w:r>
        <w:rPr>
          <w:rFonts w:hint="eastAsia" w:ascii="仿宋_GB2312" w:eastAsia="仿宋_GB2312"/>
          <w:sz w:val="32"/>
          <w:szCs w:val="32"/>
        </w:rPr>
        <w:t>2019年，“三公”经费财政拨款预算数为5万元，其中：公务接待费5万元，与上年预算数持平；公务用车运行费0万元，因公出国（境）费0万元。</w:t>
      </w:r>
    </w:p>
    <w:p>
      <w:pPr>
        <w:spacing w:line="560" w:lineRule="exact"/>
        <w:ind w:firstLine="660"/>
        <w:rPr>
          <w:rFonts w:ascii="仿宋_GB2312" w:eastAsia="仿宋_GB2312"/>
          <w:sz w:val="32"/>
          <w:szCs w:val="32"/>
        </w:rPr>
      </w:pPr>
      <w:bookmarkStart w:id="0" w:name="_GoBack"/>
      <w:bookmarkEnd w:id="0"/>
      <w:r>
        <w:rPr>
          <w:rFonts w:hint="eastAsia" w:ascii="仿宋_GB2312" w:eastAsia="仿宋_GB2312"/>
          <w:sz w:val="32"/>
          <w:szCs w:val="32"/>
        </w:rPr>
        <w:t xml:space="preserve">2019年“三公”经费预算数5万元，与 2018年预算数持平，主要是厉行节约，规范管理，进一步压缩三公经费。  </w:t>
      </w:r>
    </w:p>
    <w:p>
      <w:pPr>
        <w:numPr>
          <w:ilvl w:val="0"/>
          <w:numId w:val="2"/>
        </w:numPr>
        <w:spacing w:line="560" w:lineRule="exact"/>
        <w:ind w:firstLine="630" w:firstLineChars="196"/>
        <w:rPr>
          <w:rFonts w:ascii="仿宋" w:hAnsi="仿宋" w:eastAsia="仿宋"/>
          <w:b/>
          <w:sz w:val="32"/>
          <w:szCs w:val="32"/>
        </w:rPr>
      </w:pPr>
      <w:r>
        <w:rPr>
          <w:rFonts w:hint="eastAsia" w:ascii="仿宋" w:hAnsi="仿宋" w:eastAsia="仿宋"/>
          <w:b/>
          <w:sz w:val="32"/>
          <w:szCs w:val="32"/>
        </w:rPr>
        <w:t>政府性基金预算收入支出情况</w:t>
      </w:r>
    </w:p>
    <w:p>
      <w:pPr>
        <w:spacing w:line="560" w:lineRule="exact"/>
        <w:ind w:firstLine="660"/>
        <w:rPr>
          <w:rFonts w:ascii="仿宋" w:hAnsi="仿宋" w:eastAsia="仿宋"/>
          <w:bCs/>
          <w:sz w:val="32"/>
          <w:szCs w:val="32"/>
        </w:rPr>
      </w:pPr>
      <w:r>
        <w:rPr>
          <w:rFonts w:hint="eastAsia" w:ascii="仿宋" w:hAnsi="仿宋" w:eastAsia="仿宋"/>
          <w:bCs/>
          <w:sz w:val="32"/>
          <w:szCs w:val="32"/>
        </w:rPr>
        <w:t>2019年我中心没有政府性基金预算收入，也没有政府性基金预算支出。</w:t>
      </w:r>
    </w:p>
    <w:p>
      <w:pPr>
        <w:spacing w:line="560" w:lineRule="exact"/>
        <w:ind w:firstLine="660"/>
        <w:rPr>
          <w:rFonts w:ascii="黑体" w:hAnsi="黑体" w:eastAsia="黑体" w:cs="宋体"/>
          <w:kern w:val="0"/>
          <w:sz w:val="32"/>
          <w:szCs w:val="32"/>
        </w:rPr>
      </w:pPr>
      <w:r>
        <w:rPr>
          <w:rFonts w:hint="eastAsia" w:ascii="黑体" w:hAnsi="黑体" w:eastAsia="黑体" w:cs="宋体"/>
          <w:kern w:val="0"/>
          <w:sz w:val="32"/>
          <w:szCs w:val="32"/>
        </w:rPr>
        <w:t>七、其他重要事项的情况说明</w:t>
      </w:r>
    </w:p>
    <w:p>
      <w:pPr>
        <w:widowControl/>
        <w:ind w:firstLine="640" w:firstLineChars="200"/>
        <w:jc w:val="left"/>
        <w:rPr>
          <w:rFonts w:ascii="黑体" w:hAnsi="黑体" w:eastAsia="黑体" w:cs="宋体"/>
          <w:kern w:val="0"/>
          <w:sz w:val="32"/>
          <w:szCs w:val="32"/>
        </w:rPr>
      </w:pPr>
      <w:r>
        <w:rPr>
          <w:rFonts w:hint="eastAsia" w:ascii="黑体" w:hAnsi="黑体" w:eastAsia="黑体" w:cs="黑体"/>
          <w:sz w:val="32"/>
          <w:szCs w:val="32"/>
        </w:rPr>
        <w:t>１、</w:t>
      </w:r>
      <w:r>
        <w:rPr>
          <w:rFonts w:hint="eastAsia" w:ascii="黑体" w:hAnsi="黑体" w:eastAsia="黑体" w:cs="宋体"/>
          <w:kern w:val="0"/>
          <w:sz w:val="32"/>
          <w:szCs w:val="32"/>
        </w:rPr>
        <w:t>机关运行经费</w:t>
      </w:r>
    </w:p>
    <w:p>
      <w:pPr>
        <w:widowControl/>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2019年，县机关事务服务中心本级机关运行经费当年一般公共预算拨款24.02万元，比2018年26万元减少1.98万元，减少7.6%，原因主要是厉行节约，压缩了支出。</w:t>
      </w:r>
    </w:p>
    <w:p>
      <w:pPr>
        <w:ind w:firstLine="640" w:firstLineChars="200"/>
        <w:rPr>
          <w:rFonts w:ascii="黑体" w:hAnsi="黑体" w:eastAsia="黑体" w:cs="黑体"/>
          <w:sz w:val="32"/>
          <w:szCs w:val="32"/>
        </w:rPr>
      </w:pPr>
      <w:r>
        <w:rPr>
          <w:rFonts w:hint="eastAsia" w:ascii="黑体" w:hAnsi="黑体" w:eastAsia="黑体" w:cs="黑体"/>
          <w:sz w:val="32"/>
          <w:szCs w:val="32"/>
        </w:rPr>
        <w:t>2、一般性支出情况：</w:t>
      </w:r>
      <w:r>
        <w:rPr>
          <w:rFonts w:hint="eastAsia" w:ascii="仿宋_GB2312" w:hAnsi="仿宋" w:eastAsia="仿宋_GB2312" w:cs="宋体"/>
          <w:kern w:val="0"/>
          <w:sz w:val="32"/>
          <w:szCs w:val="32"/>
        </w:rPr>
        <w:t>2019 年本部门无一般性支出预算。</w:t>
      </w:r>
    </w:p>
    <w:p>
      <w:pPr>
        <w:ind w:firstLine="640" w:firstLineChars="200"/>
        <w:rPr>
          <w:rFonts w:ascii="黑体" w:hAnsi="仿宋" w:eastAsia="黑体"/>
          <w:sz w:val="32"/>
          <w:szCs w:val="32"/>
        </w:rPr>
      </w:pPr>
      <w:r>
        <w:rPr>
          <w:rFonts w:hint="eastAsia" w:ascii="黑体" w:hAnsi="宋体" w:eastAsia="黑体"/>
          <w:sz w:val="32"/>
          <w:szCs w:val="32"/>
        </w:rPr>
        <w:t>3</w:t>
      </w:r>
      <w:r>
        <w:rPr>
          <w:rFonts w:hint="eastAsia" w:ascii="黑体" w:hAnsi="仿宋" w:eastAsia="黑体"/>
          <w:sz w:val="32"/>
          <w:szCs w:val="32"/>
        </w:rPr>
        <w:t>、政府采购情况</w:t>
      </w:r>
    </w:p>
    <w:p>
      <w:pPr>
        <w:ind w:firstLine="640" w:firstLineChars="200"/>
        <w:rPr>
          <w:rFonts w:ascii="仿宋_GB2312" w:hAnsi="宋体" w:eastAsia="仿宋_GB2312" w:cs="宋体"/>
          <w:color w:val="444444"/>
          <w:kern w:val="0"/>
          <w:sz w:val="32"/>
          <w:szCs w:val="32"/>
        </w:rPr>
      </w:pPr>
      <w:r>
        <w:rPr>
          <w:rFonts w:hint="eastAsia" w:ascii="仿宋_GB2312" w:hAnsi="仿宋" w:eastAsia="仿宋_GB2312"/>
          <w:sz w:val="32"/>
          <w:szCs w:val="32"/>
        </w:rPr>
        <w:t>2019年政府采购预算支出30万元，</w:t>
      </w:r>
      <w:r>
        <w:rPr>
          <w:rFonts w:hint="eastAsia" w:ascii="仿宋_GB2312" w:hAnsi="宋体" w:eastAsia="仿宋_GB2312" w:cs="宋体"/>
          <w:color w:val="444444"/>
          <w:kern w:val="0"/>
          <w:sz w:val="32"/>
          <w:szCs w:val="32"/>
        </w:rPr>
        <w:t>其中：政府采购货物预算 30万元、政府采购服务预算 0万元、政府采购工程预算 0 万元。</w:t>
      </w:r>
    </w:p>
    <w:p>
      <w:pPr>
        <w:pStyle w:val="4"/>
        <w:widowControl/>
        <w:shd w:val="clear" w:color="auto" w:fill="FFFFFF"/>
        <w:tabs>
          <w:tab w:val="left" w:pos="1032"/>
        </w:tabs>
        <w:spacing w:beforeAutospacing="0" w:afterAutospacing="0" w:line="600" w:lineRule="exact"/>
        <w:ind w:left="479" w:leftChars="228" w:firstLine="160" w:firstLineChars="50"/>
        <w:jc w:val="both"/>
        <w:rPr>
          <w:rFonts w:ascii="黑体" w:eastAsia="黑体"/>
          <w:kern w:val="2"/>
          <w:sz w:val="32"/>
          <w:szCs w:val="32"/>
        </w:rPr>
      </w:pPr>
      <w:r>
        <w:rPr>
          <w:rFonts w:hint="eastAsia" w:ascii="黑体" w:hAnsi="宋体" w:eastAsia="黑体"/>
          <w:kern w:val="2"/>
          <w:sz w:val="32"/>
          <w:szCs w:val="32"/>
        </w:rPr>
        <w:t>4、国有资产占有情况说明</w:t>
      </w:r>
    </w:p>
    <w:p>
      <w:pPr>
        <w:ind w:firstLine="640" w:firstLineChars="200"/>
        <w:rPr>
          <w:rFonts w:ascii="仿宋_GB2312" w:eastAsia="仿宋_GB2312"/>
          <w:sz w:val="32"/>
          <w:szCs w:val="32"/>
        </w:rPr>
      </w:pPr>
      <w:r>
        <w:rPr>
          <w:rFonts w:hint="eastAsia" w:ascii="仿宋_GB2312" w:eastAsia="仿宋_GB2312"/>
          <w:sz w:val="32"/>
          <w:szCs w:val="32"/>
        </w:rPr>
        <w:t>截至2018年12月31日国有资产占用情况：固定资产原值1952709.12元，其中：车辆0辆，价值0元；通用设备91台（套），价值934999元；家具、用具、装具669件（套），价值348722元；房屋及建筑物14批，价值668988.12元。单位价值50万元以上通用设备0 台（套）；单位价值100万元以上专用设备0台（套）。</w:t>
      </w:r>
    </w:p>
    <w:p>
      <w:pPr>
        <w:numPr>
          <w:ilvl w:val="0"/>
          <w:numId w:val="3"/>
        </w:numPr>
        <w:rPr>
          <w:rFonts w:ascii="黑体" w:hAnsi="宋体" w:eastAsia="黑体"/>
          <w:sz w:val="32"/>
          <w:szCs w:val="32"/>
        </w:rPr>
      </w:pPr>
      <w:r>
        <w:rPr>
          <w:rFonts w:hint="eastAsia" w:ascii="黑体" w:hAnsi="宋体" w:eastAsia="黑体"/>
          <w:sz w:val="32"/>
          <w:szCs w:val="32"/>
        </w:rPr>
        <w:t>预算绩效目标说明</w:t>
      </w:r>
    </w:p>
    <w:p>
      <w:pPr>
        <w:rPr>
          <w:rFonts w:ascii="仿宋" w:hAnsi="仿宋" w:eastAsia="仿宋" w:cs="仿宋"/>
          <w:sz w:val="32"/>
          <w:szCs w:val="32"/>
        </w:rPr>
      </w:pPr>
      <w:r>
        <w:rPr>
          <w:rFonts w:hint="eastAsia" w:ascii="黑体" w:hAnsi="宋体" w:eastAsia="黑体"/>
          <w:sz w:val="32"/>
          <w:szCs w:val="32"/>
        </w:rPr>
        <w:t>　　</w:t>
      </w:r>
      <w:r>
        <w:rPr>
          <w:rFonts w:hint="eastAsia" w:ascii="仿宋" w:hAnsi="仿宋" w:eastAsia="仿宋" w:cs="仿宋"/>
          <w:sz w:val="32"/>
          <w:szCs w:val="32"/>
        </w:rPr>
        <w:t>本部门整体支出和项目支出实行绩效目标管理，纳入 2019年部门整体支出绩效目标的金额为303.9324万元，其中，基本支出303.9324万元，项目支出 0万元。</w:t>
      </w:r>
    </w:p>
    <w:p>
      <w:pPr>
        <w:ind w:firstLine="640" w:firstLineChars="200"/>
        <w:rPr>
          <w:rFonts w:ascii="仿宋_GB2312" w:eastAsia="仿宋_GB2312"/>
          <w:sz w:val="32"/>
          <w:szCs w:val="32"/>
        </w:rPr>
      </w:pPr>
      <w:r>
        <w:rPr>
          <w:rFonts w:hint="eastAsia" w:ascii="黑体" w:hAnsi="黑体" w:eastAsia="黑体" w:cs="宋体"/>
          <w:sz w:val="32"/>
          <w:szCs w:val="32"/>
        </w:rPr>
        <w:t>八</w:t>
      </w:r>
      <w:r>
        <w:rPr>
          <w:rFonts w:hint="eastAsia" w:ascii="黑体" w:hAnsi="黑体" w:eastAsia="黑体"/>
          <w:sz w:val="32"/>
          <w:szCs w:val="32"/>
        </w:rPr>
        <w:t>、名词解释</w:t>
      </w:r>
    </w:p>
    <w:p>
      <w:pPr>
        <w:widowControl/>
        <w:ind w:firstLine="620" w:firstLineChars="200"/>
        <w:jc w:val="left"/>
      </w:pPr>
      <w:r>
        <w:rPr>
          <w:color w:val="000000"/>
          <w:kern w:val="0"/>
          <w:sz w:val="31"/>
          <w:szCs w:val="31"/>
        </w:rPr>
        <w:t>1</w:t>
      </w:r>
      <w:r>
        <w:rPr>
          <w:rFonts w:hint="eastAsia" w:ascii="仿宋_GB2312" w:hAnsi="宋体" w:eastAsia="仿宋_GB2312" w:cs="仿宋_GB2312"/>
          <w:color w:val="000000"/>
          <w:kern w:val="0"/>
          <w:sz w:val="31"/>
          <w:szCs w:val="31"/>
        </w:rPr>
        <w:t xml:space="preserve">、机关运行经费：是指各部门的公用经费，包括办公 </w:t>
      </w:r>
    </w:p>
    <w:p>
      <w:pPr>
        <w:widowControl/>
        <w:jc w:val="left"/>
      </w:pPr>
      <w:r>
        <w:rPr>
          <w:rFonts w:hint="eastAsia" w:ascii="仿宋_GB2312" w:hAnsi="宋体" w:eastAsia="仿宋_GB2312" w:cs="仿宋_GB2312"/>
          <w:color w:val="000000"/>
          <w:kern w:val="0"/>
          <w:sz w:val="31"/>
          <w:szCs w:val="31"/>
        </w:rPr>
        <w:t xml:space="preserve">及印刷费、邮电费、差旅费、会议费、福利费、日常维修费、 </w:t>
      </w:r>
    </w:p>
    <w:p>
      <w:pPr>
        <w:widowControl/>
        <w:jc w:val="left"/>
      </w:pPr>
      <w:r>
        <w:rPr>
          <w:rFonts w:hint="eastAsia" w:ascii="仿宋_GB2312" w:hAnsi="宋体" w:eastAsia="仿宋_GB2312" w:cs="仿宋_GB2312"/>
          <w:color w:val="000000"/>
          <w:kern w:val="0"/>
          <w:sz w:val="31"/>
          <w:szCs w:val="31"/>
        </w:rPr>
        <w:t xml:space="preserve">专用资料及一般设备购置费、办公用房水电费、办公用房取 </w:t>
      </w:r>
    </w:p>
    <w:p>
      <w:pPr>
        <w:widowControl/>
        <w:jc w:val="left"/>
      </w:pPr>
      <w:r>
        <w:rPr>
          <w:rFonts w:hint="eastAsia" w:ascii="仿宋_GB2312" w:hAnsi="宋体" w:eastAsia="仿宋_GB2312" w:cs="仿宋_GB2312"/>
          <w:color w:val="000000"/>
          <w:kern w:val="0"/>
          <w:sz w:val="31"/>
          <w:szCs w:val="31"/>
        </w:rPr>
        <w:t xml:space="preserve">暖费、办公用房物业管理费、公务用车运行维护费以及其他 </w:t>
      </w:r>
    </w:p>
    <w:p>
      <w:pPr>
        <w:spacing w:line="500" w:lineRule="exact"/>
        <w:rPr>
          <w:rFonts w:eastAsia="仿宋"/>
          <w:sz w:val="30"/>
          <w:szCs w:val="30"/>
        </w:rPr>
      </w:pPr>
      <w:r>
        <w:rPr>
          <w:rFonts w:hint="eastAsia" w:ascii="仿宋_GB2312" w:hAnsi="宋体" w:eastAsia="仿宋_GB2312" w:cs="仿宋_GB2312"/>
          <w:color w:val="000000"/>
          <w:kern w:val="0"/>
          <w:sz w:val="31"/>
          <w:szCs w:val="31"/>
        </w:rPr>
        <w:t xml:space="preserve">费用。 </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2、事业收入：指事业单位开展专业业务活动及辅助活动所取得的收入。</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3、事业单位经营收入：指事业单位在专业业务活动及</w:t>
      </w:r>
    </w:p>
    <w:p>
      <w:pPr>
        <w:widowControl/>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其辅助活动之外开展非独立核算经营活动取得的收入</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4、其他收入：指除上述“一般公共预算拨款收入”、“事</w:t>
      </w:r>
    </w:p>
    <w:p>
      <w:pPr>
        <w:widowControl/>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业收入”、“事业单位经营收入”等以外的收入。主要是按规定动用的售房收入、存款利息收入等。</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5、用事业基金弥补收支差额：指事业单位在预计用当</w:t>
      </w:r>
    </w:p>
    <w:p>
      <w:pPr>
        <w:widowControl/>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6、上年结转：指以前年度安排、结转到本年仍按原规</w:t>
      </w:r>
    </w:p>
    <w:p>
      <w:pPr>
        <w:widowControl/>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定用途继续使用的资金。</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7、一般公共服务（类）：指用于保障机构正常运行、开展日常工作的基本支出。</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8、结转下年：指以前年度预算安排、因客观条件发生变化无法按原计划实施，需延迟到以后年度按原规定用途继</w:t>
      </w:r>
    </w:p>
    <w:p>
      <w:pPr>
        <w:widowControl/>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续使用的资金。</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9、基本支出：指为保障机构正常运转、完成日常工作任务而发生的人员支出和公用支出。</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10、项目支出：指在基本支出之外为完成特定行政任务或事业发展目标所发生的支出。</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11、上缴上级支出：指下级单位上缴上级的支出。</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12、事业单位经营支出：指事业单位在专业业务活动及其辅助活动之外开展非独立核算经营活动发生的支出。</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13、对下级单位补助支出：指对下级单位补助发生的支出。</w:t>
      </w:r>
    </w:p>
    <w:p>
      <w:pPr>
        <w:widowControl/>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14、“三公”经费：纳入中央财政预决算管理的“三公”经费，是指中央部门用财政拨款安排的因公出国（境）费、公务车购置及运行费和公务接待费。其中，因公出国（境）费反映单位公务出国（境）的国际旅费、国外城市间交通费、住宿费、伙食费、培训费、公杂费等支出；公务用车购置及运行费反映单位公务用车车辆购置支出（含车辆购置税）、燃料费、维修费、过路过桥费、保险费、安全奖励费用等支出；公务接待费反映单位按规定开支的各类公务接待（含外宾接待）支出。</w:t>
      </w:r>
    </w:p>
    <w:p>
      <w:pPr>
        <w:widowControl/>
        <w:spacing w:line="600" w:lineRule="exact"/>
        <w:ind w:firstLine="660"/>
        <w:jc w:val="left"/>
        <w:rPr>
          <w:rFonts w:ascii="仿宋_GB2312" w:eastAsia="仿宋_GB2312"/>
          <w:sz w:val="32"/>
          <w:szCs w:val="32"/>
        </w:rPr>
      </w:pPr>
    </w:p>
    <w:p>
      <w:pPr>
        <w:widowControl/>
        <w:spacing w:line="600" w:lineRule="exact"/>
        <w:ind w:firstLine="660"/>
        <w:jc w:val="left"/>
        <w:rPr>
          <w:rFonts w:ascii="仿宋_GB2312" w:eastAsia="仿宋_GB2312"/>
          <w:sz w:val="32"/>
          <w:szCs w:val="32"/>
        </w:rPr>
      </w:pPr>
    </w:p>
    <w:p>
      <w:pPr>
        <w:rPr>
          <w:b/>
          <w:bCs/>
        </w:rPr>
      </w:pP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numPr>
          <w:ilvl w:val="0"/>
          <w:numId w:val="4"/>
        </w:numPr>
        <w:ind w:firstLine="640" w:firstLineChars="200"/>
        <w:rPr>
          <w:rFonts w:ascii="黑体" w:hAnsi="宋体" w:eastAsia="黑体" w:cs="黑体"/>
          <w:color w:val="000000"/>
          <w:kern w:val="0"/>
          <w:sz w:val="32"/>
          <w:szCs w:val="32"/>
        </w:rPr>
      </w:pPr>
      <w:r>
        <w:rPr>
          <w:rFonts w:ascii="黑体" w:hAnsi="宋体" w:eastAsia="黑体" w:cs="黑体"/>
          <w:color w:val="000000"/>
          <w:kern w:val="0"/>
          <w:sz w:val="32"/>
          <w:szCs w:val="32"/>
        </w:rPr>
        <w:t>201</w:t>
      </w:r>
      <w:r>
        <w:rPr>
          <w:rFonts w:hint="eastAsia" w:ascii="黑体" w:hAnsi="宋体" w:eastAsia="黑体" w:cs="黑体"/>
          <w:color w:val="000000"/>
          <w:kern w:val="0"/>
          <w:sz w:val="32"/>
          <w:szCs w:val="32"/>
        </w:rPr>
        <w:t>9</w:t>
      </w:r>
      <w:r>
        <w:rPr>
          <w:rFonts w:ascii="黑体" w:hAnsi="宋体" w:eastAsia="黑体" w:cs="黑体"/>
          <w:color w:val="000000"/>
          <w:kern w:val="0"/>
          <w:sz w:val="32"/>
          <w:szCs w:val="32"/>
        </w:rPr>
        <w:t xml:space="preserve"> 年度部门</w:t>
      </w:r>
      <w:r>
        <w:rPr>
          <w:rFonts w:hint="eastAsia" w:ascii="黑体" w:hAnsi="宋体" w:eastAsia="黑体" w:cs="黑体"/>
          <w:color w:val="000000"/>
          <w:kern w:val="0"/>
          <w:sz w:val="32"/>
          <w:szCs w:val="32"/>
        </w:rPr>
        <w:t>预</w:t>
      </w:r>
      <w:r>
        <w:rPr>
          <w:rFonts w:ascii="黑体" w:hAnsi="宋体" w:eastAsia="黑体" w:cs="黑体"/>
          <w:color w:val="000000"/>
          <w:kern w:val="0"/>
          <w:sz w:val="32"/>
          <w:szCs w:val="32"/>
        </w:rPr>
        <w:t>算表</w:t>
      </w:r>
    </w:p>
    <w:p>
      <w:pPr>
        <w:rPr>
          <w:rFonts w:ascii="黑体" w:hAnsi="宋体" w:eastAsia="黑体" w:cs="黑体"/>
          <w:color w:val="000000"/>
          <w:kern w:val="0"/>
          <w:sz w:val="32"/>
          <w:szCs w:val="32"/>
        </w:rPr>
      </w:pPr>
    </w:p>
    <w:p>
      <w:pPr>
        <w:rPr>
          <w:rFonts w:ascii="黑体" w:hAnsi="宋体" w:eastAsia="黑体" w:cs="黑体"/>
          <w:color w:val="000000"/>
          <w:kern w:val="0"/>
          <w:sz w:val="32"/>
          <w:szCs w:val="32"/>
        </w:rPr>
      </w:pPr>
    </w:p>
    <w:p>
      <w:pPr>
        <w:rPr>
          <w:rFonts w:ascii="黑体" w:hAnsi="宋体" w:eastAsia="黑体" w:cs="黑体"/>
          <w:color w:val="000000"/>
          <w:kern w:val="0"/>
          <w:sz w:val="32"/>
          <w:szCs w:val="32"/>
        </w:rPr>
      </w:pPr>
    </w:p>
    <w:p>
      <w:pPr>
        <w:rPr>
          <w:rFonts w:ascii="黑体" w:hAnsi="宋体" w:eastAsia="黑体" w:cs="黑体"/>
          <w:color w:val="000000"/>
          <w:kern w:val="0"/>
          <w:sz w:val="32"/>
          <w:szCs w:val="32"/>
        </w:rPr>
      </w:pPr>
    </w:p>
    <w:p>
      <w:pPr>
        <w:rPr>
          <w:rFonts w:ascii="黑体" w:hAnsi="宋体" w:eastAsia="黑体" w:cs="黑体"/>
          <w:color w:val="000000"/>
          <w:kern w:val="0"/>
          <w:sz w:val="32"/>
          <w:szCs w:val="32"/>
        </w:rPr>
      </w:pPr>
    </w:p>
    <w:p>
      <w:pPr>
        <w:rPr>
          <w:rFonts w:eastAsia="仿宋"/>
          <w:sz w:val="30"/>
          <w:szCs w:val="30"/>
        </w:rPr>
      </w:pPr>
    </w:p>
    <w:sectPr>
      <w:headerReference r:id="rId3" w:type="default"/>
      <w:footerReference r:id="rId4" w:type="default"/>
      <w:footerReference r:id="rId5" w:type="even"/>
      <w:pgSz w:w="11906" w:h="16838"/>
      <w:pgMar w:top="1361" w:right="1588" w:bottom="124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jc w:val="center"/>
    </w:pPr>
    <w:r>
      <w:fldChar w:fldCharType="begin"/>
    </w:r>
    <w:r>
      <w:rPr>
        <w:rStyle w:val="7"/>
      </w:rPr>
      <w:instrText xml:space="preserve"> PAGE </w:instrText>
    </w:r>
    <w:r>
      <w:fldChar w:fldCharType="separate"/>
    </w:r>
    <w:r>
      <w:rPr>
        <w:rStyle w:val="7"/>
      </w:rP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7"/>
      </w:rPr>
    </w:pPr>
    <w:r>
      <w:fldChar w:fldCharType="begin"/>
    </w:r>
    <w:r>
      <w:rPr>
        <w:rStyle w:val="7"/>
      </w:rPr>
      <w:instrText xml:space="preserve">PAGE  </w:instrTex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661BD7"/>
    <w:multiLevelType w:val="singleLevel"/>
    <w:tmpl w:val="DC661BD7"/>
    <w:lvl w:ilvl="0" w:tentative="0">
      <w:start w:val="4"/>
      <w:numFmt w:val="chineseCounting"/>
      <w:suff w:val="nothing"/>
      <w:lvlText w:val="%1、"/>
      <w:lvlJc w:val="left"/>
      <w:rPr>
        <w:rFonts w:hint="eastAsia"/>
      </w:rPr>
    </w:lvl>
  </w:abstractNum>
  <w:abstractNum w:abstractNumId="1">
    <w:nsid w:val="1A4D927A"/>
    <w:multiLevelType w:val="singleLevel"/>
    <w:tmpl w:val="1A4D927A"/>
    <w:lvl w:ilvl="0" w:tentative="0">
      <w:start w:val="1"/>
      <w:numFmt w:val="chineseCounting"/>
      <w:suff w:val="nothing"/>
      <w:lvlText w:val="(%1）"/>
      <w:lvlJc w:val="left"/>
      <w:rPr>
        <w:rFonts w:hint="eastAsia"/>
      </w:rPr>
    </w:lvl>
  </w:abstractNum>
  <w:abstractNum w:abstractNumId="2">
    <w:nsid w:val="3C4D0480"/>
    <w:multiLevelType w:val="multilevel"/>
    <w:tmpl w:val="3C4D0480"/>
    <w:lvl w:ilvl="0" w:tentative="0">
      <w:start w:val="5"/>
      <w:numFmt w:val="decimal"/>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1A16F87"/>
    <w:multiLevelType w:val="singleLevel"/>
    <w:tmpl w:val="51A16F87"/>
    <w:lvl w:ilvl="0" w:tentative="0">
      <w:start w:val="2"/>
      <w:numFmt w:val="chineseCounting"/>
      <w:suff w:val="space"/>
      <w:lvlText w:val="第%1部分"/>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9098C"/>
    <w:rsid w:val="0016502E"/>
    <w:rsid w:val="002652AE"/>
    <w:rsid w:val="00315101"/>
    <w:rsid w:val="0039098C"/>
    <w:rsid w:val="004B00C8"/>
    <w:rsid w:val="00537623"/>
    <w:rsid w:val="005B1520"/>
    <w:rsid w:val="006A42E5"/>
    <w:rsid w:val="006A7A5E"/>
    <w:rsid w:val="00990163"/>
    <w:rsid w:val="009B4F34"/>
    <w:rsid w:val="009C692B"/>
    <w:rsid w:val="009F5717"/>
    <w:rsid w:val="00A724D8"/>
    <w:rsid w:val="00A946DB"/>
    <w:rsid w:val="00AC389F"/>
    <w:rsid w:val="00B539E8"/>
    <w:rsid w:val="00C06E6F"/>
    <w:rsid w:val="00C91530"/>
    <w:rsid w:val="00D44901"/>
    <w:rsid w:val="00DE4067"/>
    <w:rsid w:val="00E543F2"/>
    <w:rsid w:val="00EA7455"/>
    <w:rsid w:val="00EC6083"/>
    <w:rsid w:val="00EF05A0"/>
    <w:rsid w:val="00FD7371"/>
    <w:rsid w:val="04767915"/>
    <w:rsid w:val="056336F5"/>
    <w:rsid w:val="0C792E30"/>
    <w:rsid w:val="0F600EAE"/>
    <w:rsid w:val="10152D2D"/>
    <w:rsid w:val="12436207"/>
    <w:rsid w:val="15946961"/>
    <w:rsid w:val="171A7109"/>
    <w:rsid w:val="19685FFE"/>
    <w:rsid w:val="19ED2A81"/>
    <w:rsid w:val="1BEE4AF5"/>
    <w:rsid w:val="1DD75B9D"/>
    <w:rsid w:val="21575EA6"/>
    <w:rsid w:val="25633DAC"/>
    <w:rsid w:val="32003A27"/>
    <w:rsid w:val="332E0F62"/>
    <w:rsid w:val="33F73887"/>
    <w:rsid w:val="344231BA"/>
    <w:rsid w:val="359131D0"/>
    <w:rsid w:val="36E64AC3"/>
    <w:rsid w:val="37485338"/>
    <w:rsid w:val="446E4E75"/>
    <w:rsid w:val="4929204F"/>
    <w:rsid w:val="4CCC4F30"/>
    <w:rsid w:val="515858BB"/>
    <w:rsid w:val="53A835AF"/>
    <w:rsid w:val="55045EC7"/>
    <w:rsid w:val="56BB6698"/>
    <w:rsid w:val="5719272C"/>
    <w:rsid w:val="597F2837"/>
    <w:rsid w:val="59C77260"/>
    <w:rsid w:val="5A14366B"/>
    <w:rsid w:val="5B2B4E60"/>
    <w:rsid w:val="5E473596"/>
    <w:rsid w:val="6035404D"/>
    <w:rsid w:val="60A30290"/>
    <w:rsid w:val="62D264C2"/>
    <w:rsid w:val="6638785D"/>
    <w:rsid w:val="66F406E0"/>
    <w:rsid w:val="687603B6"/>
    <w:rsid w:val="6E926F34"/>
    <w:rsid w:val="709E49C8"/>
    <w:rsid w:val="710241AC"/>
    <w:rsid w:val="75366F0C"/>
    <w:rsid w:val="77CB0351"/>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Autospacing="1" w:afterAutospacing="1"/>
      <w:jc w:val="left"/>
    </w:pPr>
    <w:rPr>
      <w:rFonts w:ascii="Calibri" w:hAnsi="Calibri" w:cs="Calibri"/>
      <w:kern w:val="0"/>
      <w:sz w:val="24"/>
    </w:rPr>
  </w:style>
  <w:style w:type="character" w:styleId="7">
    <w:name w:val="page number"/>
    <w:basedOn w:val="6"/>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9</Pages>
  <Words>2810</Words>
  <Characters>374</Characters>
  <Lines>3</Lines>
  <Paragraphs>6</Paragraphs>
  <TotalTime>0</TotalTime>
  <ScaleCrop>false</ScaleCrop>
  <LinksUpToDate>false</LinksUpToDate>
  <CharactersWithSpaces>3178</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2021-06-04T02:52:00Z</dcterms:created>
  <dc:creator>lenovo</dc:creator>
  <cp:lastModifiedBy>l</cp:lastModifiedBy>
  <dcterms:modified xsi:type="dcterms:W3CDTF">2021-06-07T08:08:25Z</dcterms:modified>
  <dc:title>东安县委办2019年预算目录</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6A312AD053D34B8186C9DB24E9E753DC</vt:lpwstr>
  </property>
</Properties>
</file>