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44"/>
          <w:szCs w:val="44"/>
        </w:rPr>
      </w:pPr>
    </w:p>
    <w:p>
      <w:pPr>
        <w:spacing w:line="560" w:lineRule="exact"/>
        <w:jc w:val="center"/>
        <w:rPr>
          <w:rFonts w:ascii="黑体" w:hAnsi="黑体" w:eastAsia="黑体"/>
          <w:sz w:val="44"/>
          <w:szCs w:val="44"/>
        </w:rPr>
      </w:pPr>
    </w:p>
    <w:p>
      <w:pPr>
        <w:spacing w:line="560" w:lineRule="exact"/>
        <w:jc w:val="center"/>
        <w:rPr>
          <w:rFonts w:ascii="黑体" w:hAnsi="黑体" w:eastAsia="黑体"/>
          <w:sz w:val="44"/>
          <w:szCs w:val="44"/>
        </w:rPr>
      </w:pPr>
    </w:p>
    <w:p>
      <w:pPr>
        <w:spacing w:line="560" w:lineRule="exact"/>
        <w:jc w:val="center"/>
        <w:rPr>
          <w:rFonts w:ascii="黑体" w:hAnsi="黑体" w:eastAsia="黑体"/>
          <w:sz w:val="44"/>
          <w:szCs w:val="44"/>
        </w:rPr>
      </w:pPr>
    </w:p>
    <w:p>
      <w:pPr>
        <w:spacing w:line="1000" w:lineRule="exact"/>
        <w:jc w:val="center"/>
        <w:rPr>
          <w:rFonts w:ascii="黑体" w:hAnsi="黑体" w:eastAsia="黑体"/>
          <w:sz w:val="44"/>
          <w:szCs w:val="44"/>
        </w:rPr>
      </w:pPr>
    </w:p>
    <w:p>
      <w:pPr>
        <w:spacing w:line="1400" w:lineRule="exact"/>
        <w:jc w:val="center"/>
        <w:rPr>
          <w:rFonts w:ascii="微软雅黑" w:hAnsi="微软雅黑" w:eastAsia="微软雅黑" w:cs="微软雅黑"/>
          <w:sz w:val="84"/>
          <w:szCs w:val="84"/>
        </w:rPr>
      </w:pPr>
      <w:r>
        <w:rPr>
          <w:rFonts w:hint="eastAsia" w:ascii="微软雅黑" w:hAnsi="微软雅黑" w:eastAsia="微软雅黑" w:cs="微软雅黑"/>
          <w:sz w:val="84"/>
          <w:szCs w:val="84"/>
        </w:rPr>
        <w:t>2018年度</w:t>
      </w:r>
    </w:p>
    <w:p>
      <w:pPr>
        <w:spacing w:line="1400" w:lineRule="exact"/>
        <w:jc w:val="center"/>
        <w:rPr>
          <w:rFonts w:ascii="微软雅黑" w:hAnsi="微软雅黑" w:eastAsia="微软雅黑" w:cs="微软雅黑"/>
          <w:sz w:val="84"/>
          <w:szCs w:val="84"/>
        </w:rPr>
      </w:pPr>
      <w:r>
        <w:rPr>
          <w:rFonts w:hint="eastAsia" w:ascii="微软雅黑" w:hAnsi="微软雅黑" w:eastAsia="微软雅黑" w:cs="微软雅黑"/>
          <w:sz w:val="84"/>
          <w:szCs w:val="84"/>
        </w:rPr>
        <w:t>东安县机关事务服务中</w:t>
      </w:r>
    </w:p>
    <w:p>
      <w:pPr>
        <w:spacing w:line="1400" w:lineRule="exact"/>
        <w:jc w:val="center"/>
        <w:rPr>
          <w:rFonts w:ascii="微软雅黑" w:hAnsi="微软雅黑" w:eastAsia="微软雅黑" w:cs="微软雅黑"/>
          <w:sz w:val="84"/>
          <w:szCs w:val="84"/>
        </w:rPr>
      </w:pPr>
      <w:r>
        <w:rPr>
          <w:rFonts w:hint="eastAsia" w:ascii="微软雅黑" w:hAnsi="微软雅黑" w:eastAsia="微软雅黑" w:cs="微软雅黑"/>
          <w:sz w:val="84"/>
          <w:szCs w:val="84"/>
        </w:rPr>
        <w:t>心部门决算</w:t>
      </w:r>
    </w:p>
    <w:p>
      <w:pPr>
        <w:spacing w:line="560" w:lineRule="exact"/>
        <w:jc w:val="center"/>
        <w:rPr>
          <w:rFonts w:ascii="黑体" w:hAnsi="黑体" w:eastAsia="黑体"/>
          <w:sz w:val="56"/>
          <w:szCs w:val="56"/>
        </w:rPr>
      </w:pPr>
    </w:p>
    <w:p>
      <w:pPr>
        <w:spacing w:line="560" w:lineRule="exact"/>
        <w:jc w:val="center"/>
        <w:rPr>
          <w:rFonts w:ascii="黑体" w:hAnsi="黑体" w:eastAsia="黑体"/>
          <w:sz w:val="44"/>
          <w:szCs w:val="44"/>
        </w:rPr>
      </w:pPr>
    </w:p>
    <w:p>
      <w:pPr>
        <w:spacing w:line="560" w:lineRule="exact"/>
        <w:jc w:val="center"/>
        <w:rPr>
          <w:rFonts w:ascii="黑体" w:hAnsi="黑体" w:eastAsia="黑体"/>
          <w:sz w:val="44"/>
          <w:szCs w:val="44"/>
        </w:rPr>
      </w:pPr>
    </w:p>
    <w:p>
      <w:pPr>
        <w:spacing w:line="560" w:lineRule="exact"/>
        <w:jc w:val="center"/>
        <w:rPr>
          <w:rFonts w:ascii="黑体" w:hAnsi="黑体" w:eastAsia="黑体"/>
          <w:sz w:val="44"/>
          <w:szCs w:val="44"/>
        </w:rPr>
      </w:pPr>
    </w:p>
    <w:p>
      <w:pPr>
        <w:spacing w:line="560" w:lineRule="exact"/>
        <w:jc w:val="center"/>
        <w:rPr>
          <w:rFonts w:ascii="黑体" w:hAnsi="黑体" w:eastAsia="黑体"/>
          <w:sz w:val="44"/>
          <w:szCs w:val="44"/>
        </w:rPr>
      </w:pPr>
    </w:p>
    <w:p>
      <w:pPr>
        <w:spacing w:line="560" w:lineRule="exact"/>
        <w:jc w:val="center"/>
        <w:rPr>
          <w:rFonts w:ascii="黑体" w:hAnsi="黑体" w:eastAsia="黑体"/>
          <w:sz w:val="44"/>
          <w:szCs w:val="44"/>
        </w:rPr>
      </w:pPr>
    </w:p>
    <w:p>
      <w:pPr>
        <w:spacing w:line="560" w:lineRule="exact"/>
        <w:jc w:val="center"/>
        <w:rPr>
          <w:rFonts w:ascii="黑体" w:hAnsi="黑体" w:eastAsia="黑体"/>
          <w:sz w:val="44"/>
          <w:szCs w:val="44"/>
        </w:rPr>
      </w:pPr>
    </w:p>
    <w:p>
      <w:pPr>
        <w:spacing w:line="560" w:lineRule="exact"/>
        <w:jc w:val="center"/>
        <w:rPr>
          <w:rFonts w:ascii="黑体" w:hAnsi="黑体" w:eastAsia="黑体"/>
          <w:sz w:val="44"/>
          <w:szCs w:val="44"/>
        </w:rPr>
      </w:pPr>
    </w:p>
    <w:p>
      <w:pPr>
        <w:spacing w:line="560" w:lineRule="exact"/>
        <w:jc w:val="center"/>
        <w:rPr>
          <w:rFonts w:ascii="黑体" w:hAnsi="黑体" w:eastAsia="黑体"/>
          <w:sz w:val="44"/>
          <w:szCs w:val="44"/>
        </w:rPr>
      </w:pPr>
    </w:p>
    <w:p>
      <w:pPr>
        <w:spacing w:line="560" w:lineRule="exact"/>
        <w:jc w:val="center"/>
        <w:rPr>
          <w:rFonts w:ascii="黑体" w:hAnsi="黑体" w:eastAsia="黑体"/>
          <w:sz w:val="44"/>
          <w:szCs w:val="44"/>
        </w:rPr>
      </w:pPr>
    </w:p>
    <w:p>
      <w:pPr>
        <w:spacing w:line="560" w:lineRule="exact"/>
        <w:jc w:val="center"/>
        <w:rPr>
          <w:rFonts w:ascii="黑体" w:hAnsi="黑体" w:eastAsia="黑体"/>
          <w:sz w:val="44"/>
          <w:szCs w:val="44"/>
        </w:rPr>
      </w:pPr>
    </w:p>
    <w:p>
      <w:pPr>
        <w:spacing w:line="560" w:lineRule="exact"/>
        <w:jc w:val="center"/>
        <w:rPr>
          <w:rFonts w:ascii="黑体" w:hAnsi="黑体" w:eastAsia="黑体"/>
          <w:sz w:val="44"/>
          <w:szCs w:val="44"/>
        </w:rPr>
      </w:pPr>
      <w:r>
        <w:rPr>
          <w:rFonts w:hint="eastAsia" w:ascii="黑体" w:hAnsi="黑体" w:eastAsia="黑体"/>
          <w:sz w:val="44"/>
          <w:szCs w:val="44"/>
        </w:rPr>
        <w:t>东安县机关事务服务中心</w:t>
      </w:r>
    </w:p>
    <w:p>
      <w:pPr>
        <w:spacing w:line="560" w:lineRule="exact"/>
        <w:jc w:val="center"/>
        <w:rPr>
          <w:rFonts w:ascii="黑体" w:hAnsi="黑体" w:eastAsia="黑体"/>
          <w:sz w:val="44"/>
          <w:szCs w:val="44"/>
        </w:rPr>
      </w:pPr>
      <w:r>
        <w:rPr>
          <w:rFonts w:hint="eastAsia" w:ascii="黑体" w:hAnsi="黑体" w:eastAsia="黑体"/>
          <w:sz w:val="44"/>
          <w:szCs w:val="44"/>
        </w:rPr>
        <w:t>2018年部门决算目录</w:t>
      </w:r>
    </w:p>
    <w:p>
      <w:pPr>
        <w:spacing w:line="560" w:lineRule="exact"/>
        <w:jc w:val="center"/>
        <w:rPr>
          <w:rFonts w:ascii="仿宋_GB2312" w:eastAsia="仿宋_GB2312"/>
          <w:sz w:val="44"/>
          <w:szCs w:val="44"/>
        </w:rPr>
      </w:pP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第一部分　　部门基本情况</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一、部门职责</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二、机构设置及决算单位构成</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第二部分　　2018年度部门决算表</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一、收入支出决算总表</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二、收入决算表</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三、支出决算表</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四、财政拨款收入支出决算总表</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五、一般公共预算财政拨款支出决算表</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六、一般公共预算财政拨款基本支出决算表</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七、一般公共预算财政拨款“三公”经费支出决算表</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八、政府性基金预算财政拨款收入支出决算表</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第三部分　　2018年度部门决算情况说明</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一、收入支出决算总体情况说明</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二、收入决算情况说明</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三、支出决算情况说明</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四、财政拨款收入支出决算总体情况说明</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五、一般公共预算财政拨款支出决算情况说明</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六、一般公共预算财政拨款基本支出决算情况说明</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七、一般公共预算财政拨款三公经费支出决算情况说明</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八、政府性基金预算收入支出决算情况</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九、预算绩效情况说明</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十、其他重要事项情况说明</w:t>
      </w:r>
    </w:p>
    <w:p>
      <w:pPr>
        <w:widowControl/>
        <w:spacing w:line="560" w:lineRule="exact"/>
        <w:jc w:val="left"/>
        <w:rPr>
          <w:rFonts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第四部分　　名词解释</w:t>
      </w:r>
    </w:p>
    <w:p>
      <w:pPr>
        <w:widowControl/>
        <w:spacing w:line="560" w:lineRule="exact"/>
        <w:jc w:val="left"/>
        <w:rPr>
          <w:rFonts w:ascii="仿宋_GB2312" w:eastAsia="仿宋_GB2312"/>
          <w:sz w:val="32"/>
          <w:szCs w:val="32"/>
        </w:rPr>
      </w:pPr>
      <w:r>
        <w:rPr>
          <w:rFonts w:hint="eastAsia" w:ascii="仿宋_GB2312" w:hAnsi="宋体" w:eastAsia="仿宋_GB2312" w:cs="黑体"/>
          <w:b/>
          <w:color w:val="000000"/>
          <w:kern w:val="0"/>
          <w:sz w:val="32"/>
          <w:szCs w:val="32"/>
        </w:rPr>
        <w:t>第五部分　　附件  2018年度部门整体支出绩效自评报告</w:t>
      </w:r>
    </w:p>
    <w:p>
      <w:pPr>
        <w:widowControl/>
        <w:spacing w:line="560" w:lineRule="exact"/>
        <w:jc w:val="left"/>
        <w:rPr>
          <w:rFonts w:ascii="仿宋_GB2312" w:eastAsia="仿宋_GB2312"/>
          <w:sz w:val="32"/>
          <w:szCs w:val="32"/>
        </w:rPr>
      </w:pPr>
    </w:p>
    <w:p>
      <w:pPr>
        <w:widowControl/>
        <w:spacing w:line="560" w:lineRule="exact"/>
        <w:jc w:val="left"/>
        <w:rPr>
          <w:rFonts w:ascii="仿宋_GB2312" w:eastAsia="仿宋_GB2312"/>
          <w:sz w:val="32"/>
          <w:szCs w:val="32"/>
        </w:rPr>
      </w:pPr>
    </w:p>
    <w:p>
      <w:pPr>
        <w:widowControl/>
        <w:spacing w:line="560" w:lineRule="exact"/>
        <w:jc w:val="left"/>
        <w:rPr>
          <w:rFonts w:ascii="仿宋_GB2312" w:eastAsia="仿宋_GB2312"/>
          <w:sz w:val="32"/>
          <w:szCs w:val="32"/>
        </w:rPr>
      </w:pPr>
    </w:p>
    <w:p>
      <w:pPr>
        <w:widowControl/>
        <w:spacing w:line="560" w:lineRule="exact"/>
        <w:jc w:val="left"/>
        <w:rPr>
          <w:rFonts w:ascii="仿宋_GB2312" w:eastAsia="仿宋_GB2312"/>
          <w:sz w:val="32"/>
          <w:szCs w:val="32"/>
        </w:rPr>
      </w:pPr>
    </w:p>
    <w:p>
      <w:pPr>
        <w:widowControl/>
        <w:spacing w:line="560" w:lineRule="exact"/>
        <w:jc w:val="left"/>
        <w:rPr>
          <w:rFonts w:ascii="仿宋_GB2312" w:eastAsia="仿宋_GB2312"/>
          <w:sz w:val="32"/>
          <w:szCs w:val="32"/>
        </w:rPr>
      </w:pPr>
    </w:p>
    <w:p>
      <w:pPr>
        <w:widowControl/>
        <w:spacing w:line="560" w:lineRule="exact"/>
        <w:jc w:val="left"/>
        <w:rPr>
          <w:rFonts w:ascii="仿宋_GB2312" w:eastAsia="仿宋_GB2312"/>
          <w:sz w:val="32"/>
          <w:szCs w:val="32"/>
        </w:rPr>
      </w:pPr>
    </w:p>
    <w:p>
      <w:pPr>
        <w:widowControl/>
        <w:spacing w:line="560" w:lineRule="exact"/>
        <w:jc w:val="left"/>
        <w:rPr>
          <w:rFonts w:ascii="仿宋_GB2312" w:eastAsia="仿宋_GB2312"/>
          <w:sz w:val="32"/>
          <w:szCs w:val="32"/>
        </w:rPr>
      </w:pPr>
    </w:p>
    <w:p>
      <w:pPr>
        <w:spacing w:line="560" w:lineRule="exact"/>
        <w:jc w:val="center"/>
        <w:rPr>
          <w:rFonts w:ascii="仿宋_GB2312" w:eastAsia="仿宋_GB2312"/>
          <w:sz w:val="44"/>
          <w:szCs w:val="44"/>
        </w:rPr>
        <w:sectPr>
          <w:footerReference r:id="rId3" w:type="default"/>
          <w:pgSz w:w="11906" w:h="16838"/>
          <w:pgMar w:top="1474" w:right="1474" w:bottom="1474" w:left="1474" w:header="851" w:footer="992" w:gutter="0"/>
          <w:pgNumType w:start="1"/>
          <w:cols w:space="720" w:num="1"/>
          <w:docGrid w:type="lines" w:linePitch="312" w:charSpace="0"/>
        </w:sectPr>
      </w:pPr>
    </w:p>
    <w:p>
      <w:pPr>
        <w:spacing w:line="1400" w:lineRule="exact"/>
        <w:jc w:val="center"/>
        <w:rPr>
          <w:rFonts w:ascii="黑体" w:hAnsi="黑体" w:eastAsia="黑体"/>
          <w:b/>
          <w:sz w:val="84"/>
          <w:szCs w:val="84"/>
        </w:rPr>
      </w:pPr>
    </w:p>
    <w:p>
      <w:pPr>
        <w:spacing w:line="1400" w:lineRule="exact"/>
        <w:jc w:val="center"/>
        <w:rPr>
          <w:rFonts w:ascii="黑体" w:hAnsi="黑体" w:eastAsia="黑体"/>
          <w:b/>
          <w:sz w:val="84"/>
          <w:szCs w:val="84"/>
        </w:rPr>
      </w:pPr>
    </w:p>
    <w:p>
      <w:pPr>
        <w:spacing w:line="1400" w:lineRule="exact"/>
        <w:jc w:val="center"/>
        <w:rPr>
          <w:rFonts w:ascii="黑体" w:hAnsi="黑体" w:eastAsia="黑体"/>
          <w:b/>
          <w:sz w:val="84"/>
          <w:szCs w:val="84"/>
        </w:rPr>
      </w:pPr>
    </w:p>
    <w:p>
      <w:pPr>
        <w:spacing w:line="1400" w:lineRule="exact"/>
        <w:ind w:left="360"/>
        <w:jc w:val="center"/>
        <w:rPr>
          <w:rFonts w:ascii="黑体" w:hAnsi="黑体" w:eastAsia="黑体"/>
          <w:b/>
          <w:sz w:val="84"/>
          <w:szCs w:val="84"/>
        </w:rPr>
      </w:pPr>
      <w:r>
        <w:rPr>
          <w:rFonts w:hint="eastAsia" w:ascii="黑体" w:hAnsi="黑体" w:eastAsia="黑体"/>
          <w:b/>
          <w:sz w:val="84"/>
          <w:szCs w:val="84"/>
        </w:rPr>
        <w:t>第一部分</w:t>
      </w:r>
    </w:p>
    <w:p>
      <w:pPr>
        <w:spacing w:line="1160" w:lineRule="exact"/>
        <w:jc w:val="center"/>
        <w:rPr>
          <w:rFonts w:ascii="黑体" w:hAnsi="黑体" w:eastAsia="黑体" w:cs="黑体"/>
          <w:b/>
          <w:color w:val="000000"/>
          <w:kern w:val="0"/>
          <w:sz w:val="84"/>
          <w:szCs w:val="84"/>
        </w:rPr>
      </w:pPr>
    </w:p>
    <w:p>
      <w:pPr>
        <w:spacing w:line="1160" w:lineRule="exact"/>
        <w:jc w:val="center"/>
        <w:rPr>
          <w:rFonts w:ascii="黑体" w:hAnsi="黑体" w:eastAsia="黑体" w:cs="黑体"/>
          <w:b/>
          <w:color w:val="000000"/>
          <w:kern w:val="0"/>
          <w:sz w:val="84"/>
          <w:szCs w:val="84"/>
        </w:rPr>
      </w:pPr>
      <w:r>
        <w:rPr>
          <w:rFonts w:hint="eastAsia" w:ascii="黑体" w:hAnsi="黑体" w:eastAsia="黑体" w:cs="黑体"/>
          <w:b/>
          <w:color w:val="000000"/>
          <w:kern w:val="0"/>
          <w:sz w:val="84"/>
          <w:szCs w:val="84"/>
        </w:rPr>
        <w:t>部门基本情况</w:t>
      </w:r>
    </w:p>
    <w:p>
      <w:pPr>
        <w:spacing w:line="1160" w:lineRule="exact"/>
        <w:ind w:firstLine="630" w:firstLineChars="196"/>
        <w:rPr>
          <w:rFonts w:ascii="仿宋_GB2312" w:eastAsia="仿宋_GB2312" w:cs="黑体"/>
          <w:b/>
          <w:color w:val="000000"/>
          <w:sz w:val="32"/>
          <w:szCs w:val="32"/>
        </w:rPr>
      </w:pPr>
      <w:r>
        <w:rPr>
          <w:rFonts w:hint="eastAsia" w:ascii="黑体" w:hAnsi="黑体" w:eastAsia="黑体"/>
          <w:b/>
          <w:sz w:val="32"/>
          <w:szCs w:val="32"/>
        </w:rPr>
        <w:br w:type="page"/>
      </w:r>
      <w:r>
        <w:rPr>
          <w:rFonts w:hint="eastAsia" w:ascii="仿宋_GB2312" w:eastAsia="仿宋_GB2312" w:cs="黑体"/>
          <w:b/>
          <w:color w:val="000000"/>
          <w:sz w:val="32"/>
          <w:szCs w:val="32"/>
        </w:rPr>
        <w:t>一、部门职责</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（1）负责机关大院内所有国有资产的管理工作。</w:t>
      </w:r>
    </w:p>
    <w:p>
      <w:pPr>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（2）负责机关大院的正常供水、供电及安全监督检查和服务工作。</w:t>
      </w:r>
    </w:p>
    <w:p>
      <w:pPr>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（3）负责机关大院的安全保卫、消防预防工作。</w:t>
      </w:r>
    </w:p>
    <w:p>
      <w:pPr>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（4）负责机关大院的基建、绿化、美化、环境保护的规划及组织实施工作和机关公共卫生管理工作。</w:t>
      </w:r>
    </w:p>
    <w:p>
      <w:pPr>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（5）负责四大家全县性会议的经费预结算、会议服务、机关大会议室和会展中心的服务管理工作。</w:t>
      </w:r>
    </w:p>
    <w:p>
      <w:pPr>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（6）负责机关食堂的经营管理、会议接待工作。</w:t>
      </w:r>
    </w:p>
    <w:p>
      <w:pPr>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（7）负责县委、县人大、县政府、县政协领导交办的其他工作事项。</w:t>
      </w:r>
    </w:p>
    <w:p>
      <w:pPr>
        <w:spacing w:line="560" w:lineRule="exact"/>
        <w:ind w:firstLine="590" w:firstLineChars="196"/>
        <w:rPr>
          <w:rFonts w:ascii="仿宋_GB2312" w:eastAsia="仿宋_GB2312"/>
          <w:b/>
          <w:sz w:val="30"/>
          <w:szCs w:val="30"/>
        </w:rPr>
      </w:pPr>
      <w:r>
        <w:rPr>
          <w:rFonts w:hint="eastAsia" w:ascii="仿宋_GB2312" w:eastAsia="仿宋_GB2312"/>
          <w:b/>
          <w:sz w:val="30"/>
          <w:szCs w:val="30"/>
        </w:rPr>
        <w:t>二、机构设置及决算单位构成</w:t>
      </w:r>
    </w:p>
    <w:p>
      <w:pPr>
        <w:spacing w:line="460" w:lineRule="exact"/>
        <w:ind w:firstLine="640" w:firstLineChars="200"/>
        <w:rPr>
          <w:rFonts w:ascii="仿宋_GB2312" w:hAnsi="仿宋" w:eastAsia="仿宋_GB2312"/>
          <w:sz w:val="32"/>
          <w:szCs w:val="32"/>
        </w:rPr>
      </w:pPr>
      <w:r>
        <w:rPr>
          <w:rFonts w:hint="eastAsia" w:ascii="仿宋_GB2312" w:eastAsia="仿宋_GB2312"/>
          <w:sz w:val="32"/>
          <w:szCs w:val="32"/>
        </w:rPr>
        <w:t>（一）机构设置：机关事务服务中心内设机构分为：办公室、水电动力股、安全保卫股、综合服务股，归口管理人民公园管理所、党政公务用车服务中心，</w:t>
      </w:r>
      <w:r>
        <w:rPr>
          <w:rFonts w:hint="eastAsia" w:ascii="仿宋_GB2312" w:hAnsi="仿宋" w:eastAsia="仿宋_GB2312"/>
          <w:sz w:val="32"/>
          <w:szCs w:val="32"/>
        </w:rPr>
        <w:t>人员编制数17人，2018年末实有在职干部职工14人，其中：行政人员5人，事业人员3人，工勤人员6人。公务用车0辆。</w:t>
      </w:r>
    </w:p>
    <w:p>
      <w:pPr>
        <w:spacing w:line="560" w:lineRule="exact"/>
        <w:rPr>
          <w:rFonts w:ascii="仿宋_GB2312" w:hAnsi="仿宋" w:eastAsia="仿宋_GB2312"/>
          <w:sz w:val="32"/>
          <w:szCs w:val="32"/>
        </w:rPr>
      </w:pPr>
      <w:r>
        <w:rPr>
          <w:rFonts w:hint="eastAsia" w:ascii="仿宋_GB2312" w:hAnsi="仿宋" w:eastAsia="仿宋_GB2312"/>
          <w:sz w:val="32"/>
          <w:szCs w:val="32"/>
        </w:rPr>
        <w:t>　　（二）决算单位构成：我中心无二级预算单位，因此，机关事务服务中心 2018年部门决算即东安县机关事务服务中心本级 2018年部门决算。</w:t>
      </w: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p>
    <w:p>
      <w:pPr>
        <w:spacing w:line="1400" w:lineRule="exact"/>
        <w:rPr>
          <w:rFonts w:ascii="黑体" w:hAnsi="黑体" w:eastAsia="黑体"/>
          <w:b/>
          <w:sz w:val="84"/>
          <w:szCs w:val="84"/>
        </w:rPr>
      </w:pPr>
    </w:p>
    <w:p>
      <w:pPr>
        <w:spacing w:line="1160" w:lineRule="exact"/>
        <w:jc w:val="center"/>
        <w:rPr>
          <w:rFonts w:hint="eastAsia" w:ascii="黑体" w:hAnsi="黑体" w:eastAsia="黑体" w:cs="黑体"/>
          <w:b/>
          <w:color w:val="000000"/>
          <w:kern w:val="0"/>
          <w:sz w:val="84"/>
          <w:szCs w:val="84"/>
        </w:rPr>
      </w:pPr>
      <w:r>
        <w:rPr>
          <w:rFonts w:hint="eastAsia" w:ascii="黑体" w:hAnsi="黑体" w:eastAsia="黑体" w:cs="黑体"/>
          <w:b/>
          <w:color w:val="000000"/>
          <w:kern w:val="0"/>
          <w:sz w:val="84"/>
          <w:szCs w:val="84"/>
        </w:rPr>
        <w:t>第二部分</w:t>
      </w:r>
    </w:p>
    <w:p>
      <w:pPr>
        <w:spacing w:line="1160" w:lineRule="exact"/>
        <w:jc w:val="center"/>
        <w:rPr>
          <w:rFonts w:ascii="黑体" w:hAnsi="黑体" w:eastAsia="黑体" w:cs="黑体"/>
          <w:b/>
          <w:color w:val="000000"/>
          <w:kern w:val="0"/>
          <w:sz w:val="84"/>
          <w:szCs w:val="84"/>
          <w:highlight w:val="red"/>
        </w:rPr>
      </w:pPr>
      <w:r>
        <w:rPr>
          <w:rFonts w:hint="eastAsia" w:ascii="黑体" w:hAnsi="黑体" w:eastAsia="黑体" w:cs="黑体"/>
          <w:b/>
          <w:color w:val="000000"/>
          <w:kern w:val="0"/>
          <w:sz w:val="84"/>
          <w:szCs w:val="84"/>
        </w:rPr>
        <w:t>2018 年度部门决算表</w:t>
      </w:r>
    </w:p>
    <w:p>
      <w:pPr>
        <w:widowControl/>
        <w:ind w:firstLine="640" w:firstLineChars="200"/>
        <w:jc w:val="left"/>
        <w:rPr>
          <w:rFonts w:ascii="仿宋_GB2312" w:hAnsi="宋体" w:eastAsia="仿宋_GB2312" w:cs="黑体"/>
          <w:color w:val="000000"/>
          <w:kern w:val="0"/>
          <w:sz w:val="32"/>
          <w:szCs w:val="32"/>
        </w:rPr>
      </w:pPr>
    </w:p>
    <w:p>
      <w:pPr>
        <w:widowControl/>
        <w:ind w:firstLine="640" w:firstLineChars="200"/>
        <w:jc w:val="left"/>
        <w:rPr>
          <w:rFonts w:ascii="仿宋_GB2312" w:hAnsi="宋体" w:eastAsia="仿宋_GB2312" w:cs="黑体"/>
          <w:color w:val="000000"/>
          <w:kern w:val="0"/>
          <w:sz w:val="32"/>
          <w:szCs w:val="32"/>
        </w:rPr>
      </w:pPr>
    </w:p>
    <w:p>
      <w:pPr>
        <w:widowControl/>
        <w:ind w:firstLine="640" w:firstLineChars="200"/>
        <w:jc w:val="left"/>
        <w:rPr>
          <w:rFonts w:ascii="仿宋_GB2312" w:hAnsi="宋体" w:eastAsia="仿宋_GB2312" w:cs="黑体"/>
          <w:color w:val="000000"/>
          <w:kern w:val="0"/>
          <w:sz w:val="32"/>
          <w:szCs w:val="32"/>
        </w:rPr>
      </w:pPr>
    </w:p>
    <w:p>
      <w:pPr>
        <w:widowControl/>
        <w:ind w:firstLine="640" w:firstLineChars="200"/>
        <w:jc w:val="left"/>
        <w:rPr>
          <w:rFonts w:ascii="仿宋_GB2312" w:hAnsi="宋体" w:eastAsia="仿宋_GB2312" w:cs="黑体"/>
          <w:color w:val="000000"/>
          <w:kern w:val="0"/>
          <w:sz w:val="32"/>
          <w:szCs w:val="32"/>
        </w:rPr>
      </w:pPr>
    </w:p>
    <w:p>
      <w:pPr>
        <w:widowControl/>
        <w:ind w:firstLine="640" w:firstLineChars="200"/>
        <w:jc w:val="left"/>
        <w:rPr>
          <w:rFonts w:ascii="仿宋_GB2312" w:hAnsi="宋体" w:eastAsia="仿宋_GB2312" w:cs="黑体"/>
          <w:color w:val="000000"/>
          <w:kern w:val="0"/>
          <w:sz w:val="32"/>
          <w:szCs w:val="32"/>
        </w:rPr>
      </w:pPr>
    </w:p>
    <w:p>
      <w:pPr>
        <w:widowControl/>
        <w:spacing w:line="1400" w:lineRule="exact"/>
        <w:jc w:val="left"/>
        <w:rPr>
          <w:rFonts w:hint="eastAsia" w:ascii="仿宋_GB2312" w:hAnsi="宋体" w:eastAsia="仿宋_GB2312" w:cs="黑体"/>
          <w:b/>
          <w:color w:val="000000"/>
          <w:kern w:val="0"/>
          <w:sz w:val="32"/>
          <w:szCs w:val="32"/>
        </w:rPr>
      </w:pPr>
    </w:p>
    <w:p>
      <w:pPr>
        <w:widowControl/>
        <w:spacing w:line="1400" w:lineRule="exact"/>
        <w:jc w:val="left"/>
        <w:rPr>
          <w:rFonts w:hint="eastAsia" w:ascii="仿宋_GB2312" w:hAnsi="宋体" w:eastAsia="仿宋_GB2312" w:cs="黑体"/>
          <w:b/>
          <w:color w:val="000000"/>
          <w:kern w:val="0"/>
          <w:sz w:val="32"/>
          <w:szCs w:val="32"/>
        </w:rPr>
      </w:pPr>
      <w:r>
        <w:rPr>
          <w:rFonts w:hint="eastAsia" w:ascii="仿宋_GB2312" w:hAnsi="宋体" w:eastAsia="仿宋_GB2312" w:cs="黑体"/>
          <w:b/>
          <w:color w:val="000000"/>
          <w:kern w:val="0"/>
          <w:sz w:val="32"/>
          <w:szCs w:val="32"/>
        </w:rPr>
        <w:t>收入支出决算总表</w:t>
      </w:r>
    </w:p>
    <w:tbl>
      <w:tblPr>
        <w:tblStyle w:val="6"/>
        <w:tblpPr w:leftFromText="180" w:rightFromText="180" w:vertAnchor="text" w:horzAnchor="page" w:tblpX="105" w:tblpY="2153"/>
        <w:tblOverlap w:val="never"/>
        <w:tblW w:w="28291" w:type="dxa"/>
        <w:tblInd w:w="0" w:type="dxa"/>
        <w:shd w:val="clear" w:color="auto" w:fill="auto"/>
        <w:tblLayout w:type="autofit"/>
        <w:tblCellMar>
          <w:top w:w="0" w:type="dxa"/>
          <w:left w:w="108" w:type="dxa"/>
          <w:bottom w:w="0" w:type="dxa"/>
          <w:right w:w="108" w:type="dxa"/>
        </w:tblCellMar>
      </w:tblPr>
      <w:tblGrid>
        <w:gridCol w:w="4060"/>
        <w:gridCol w:w="713"/>
        <w:gridCol w:w="1669"/>
        <w:gridCol w:w="1669"/>
        <w:gridCol w:w="1669"/>
        <w:gridCol w:w="3414"/>
        <w:gridCol w:w="728"/>
        <w:gridCol w:w="1705"/>
        <w:gridCol w:w="1705"/>
        <w:gridCol w:w="1705"/>
        <w:gridCol w:w="3414"/>
        <w:gridCol w:w="728"/>
        <w:gridCol w:w="1705"/>
        <w:gridCol w:w="1705"/>
        <w:gridCol w:w="1702"/>
      </w:tblGrid>
      <w:tr>
        <w:tblPrEx>
          <w:tblCellMar>
            <w:top w:w="0" w:type="dxa"/>
            <w:left w:w="108" w:type="dxa"/>
            <w:bottom w:w="0" w:type="dxa"/>
            <w:right w:w="108" w:type="dxa"/>
          </w:tblCellMar>
        </w:tblPrEx>
        <w:trPr>
          <w:trHeight w:val="308" w:hRule="atLeast"/>
        </w:trPr>
        <w:tc>
          <w:tcPr>
            <w:tcW w:w="9780" w:type="dxa"/>
            <w:gridSpan w:val="5"/>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18511" w:type="dxa"/>
            <w:gridSpan w:val="10"/>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年初预算数</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调整预算数</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项目(按功能分类)</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年初预算数</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调整预算数</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项目(按支出性质和经济分类)</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年初预算数</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调整预算数</w:t>
            </w:r>
          </w:p>
        </w:tc>
        <w:tc>
          <w:tcPr>
            <w:tcW w:w="0" w:type="auto"/>
            <w:tcBorders>
              <w:top w:val="nil"/>
              <w:left w:val="nil"/>
              <w:bottom w:val="single" w:color="000000" w:sz="4" w:space="0"/>
              <w:right w:val="single" w:color="000000" w:sz="8"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8"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一、财政拨款收入</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一、基本支出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其中：政府性基金预算财政拨款</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人员经费</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1,483,103.00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1,483,103.00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1,483,103.00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二、上级补助收入</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日常公用经费</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275,649.00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275,649.00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275,649.00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三、事业收入</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二、项目支出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四、经营收入</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基本建设类项目</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五、附属单位上缴收入</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行政事业类项目</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六、其他收入</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七、文化体育与传媒支出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三、上缴上级支出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四、经营支出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九、医疗卫生与计划生育支出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五、对附属单位补助支出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支出经济分类</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基本支出和项目支出合计</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工资福利支出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1,391,282.00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十四、资源勘探信息等支出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商品和服务支出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1,246,897.00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对个人和家庭的补助</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91,821.00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债务利息及费用支出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资本性支出（基本建设）</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十八、国土海洋气象等支出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对企业补助（基本建设）</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对企业补助</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二十一、其他支出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对社会保障基金补助</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二十二、债务还本支出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二十三、债务付息支出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gridSpan w:val="6"/>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用事业基金弥补收支差额</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gridSpan w:val="6"/>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结余分配</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年初结转和结余</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gridSpan w:val="6"/>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交纳所得税</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基本支出结转</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gridSpan w:val="6"/>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提取职工福利基金</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项目支出结转和结余</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gridSpan w:val="6"/>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转入事业基金</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经营结余</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gridSpan w:val="6"/>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gridSpan w:val="6"/>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年末结转和结余</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gridSpan w:val="6"/>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基本支出结转</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gridSpan w:val="6"/>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项目支出结转和结余</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gridSpan w:val="6"/>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经营结余</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center"/>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gridSpan w:val="6"/>
            <w:tcBorders>
              <w:top w:val="nil"/>
              <w:left w:val="nil"/>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gridSpan w:val="6"/>
            <w:tcBorders>
              <w:top w:val="nil"/>
              <w:left w:val="nil"/>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8"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8"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gridSpan w:val="6"/>
            <w:tcBorders>
              <w:top w:val="nil"/>
              <w:left w:val="nil"/>
              <w:bottom w:val="single" w:color="000000" w:sz="8"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8"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r>
    </w:tbl>
    <w:p>
      <w:pPr>
        <w:widowControl/>
        <w:spacing w:line="720" w:lineRule="exact"/>
        <w:jc w:val="left"/>
        <w:rPr>
          <w:rFonts w:hint="eastAsia" w:ascii="仿宋_GB2312" w:hAnsi="宋体" w:eastAsia="仿宋_GB2312" w:cs="黑体"/>
          <w:b/>
          <w:color w:val="000000"/>
          <w:kern w:val="0"/>
          <w:sz w:val="30"/>
          <w:szCs w:val="30"/>
        </w:rPr>
      </w:pPr>
    </w:p>
    <w:tbl>
      <w:tblPr>
        <w:tblStyle w:val="6"/>
        <w:tblW w:w="9165" w:type="dxa"/>
        <w:tblInd w:w="93" w:type="dxa"/>
        <w:shd w:val="clear" w:color="auto" w:fill="auto"/>
        <w:tblLayout w:type="autofit"/>
        <w:tblCellMar>
          <w:top w:w="0" w:type="dxa"/>
          <w:left w:w="108" w:type="dxa"/>
          <w:bottom w:w="0" w:type="dxa"/>
          <w:right w:w="108" w:type="dxa"/>
        </w:tblCellMar>
      </w:tblPr>
      <w:tblGrid>
        <w:gridCol w:w="2132"/>
        <w:gridCol w:w="325"/>
        <w:gridCol w:w="326"/>
        <w:gridCol w:w="1863"/>
        <w:gridCol w:w="875"/>
        <w:gridCol w:w="875"/>
        <w:gridCol w:w="725"/>
        <w:gridCol w:w="436"/>
        <w:gridCol w:w="436"/>
        <w:gridCol w:w="436"/>
        <w:gridCol w:w="935"/>
      </w:tblGrid>
      <w:tr>
        <w:tblPrEx>
          <w:shd w:val="clear" w:color="auto" w:fill="auto"/>
          <w:tblCellMar>
            <w:top w:w="0" w:type="dxa"/>
            <w:left w:w="108" w:type="dxa"/>
            <w:bottom w:w="0" w:type="dxa"/>
            <w:right w:w="108" w:type="dxa"/>
          </w:tblCellMar>
        </w:tblPrEx>
        <w:trPr>
          <w:trHeight w:val="540" w:hRule="atLeast"/>
        </w:trPr>
        <w:tc>
          <w:tcPr>
            <w:tcW w:w="9165" w:type="dxa"/>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收入决算表</w:t>
            </w:r>
          </w:p>
        </w:tc>
      </w:tr>
      <w:tr>
        <w:tblPrEx>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公开</w:t>
            </w:r>
            <w:r>
              <w:rPr>
                <w:rFonts w:hint="eastAsia" w:ascii="宋体" w:hAnsi="宋体" w:eastAsia="宋体" w:cs="宋体"/>
                <w:i w:val="0"/>
                <w:iCs w:val="0"/>
                <w:color w:val="000000"/>
                <w:kern w:val="0"/>
                <w:sz w:val="24"/>
                <w:szCs w:val="24"/>
                <w:u w:val="none"/>
                <w:lang w:val="en-US" w:eastAsia="zh-CN" w:bidi="ar"/>
              </w:rPr>
              <w:t>0</w:t>
            </w:r>
            <w:r>
              <w:rPr>
                <w:rFonts w:hint="eastAsia" w:ascii="宋体" w:hAnsi="宋体" w:cs="宋体"/>
                <w:i w:val="0"/>
                <w:iCs w:val="0"/>
                <w:color w:val="000000"/>
                <w:kern w:val="0"/>
                <w:sz w:val="24"/>
                <w:szCs w:val="24"/>
                <w:u w:val="none"/>
                <w:lang w:val="en-US" w:eastAsia="zh-CN" w:bidi="ar"/>
              </w:rPr>
              <w:t>2</w:t>
            </w:r>
            <w:r>
              <w:rPr>
                <w:rFonts w:hint="eastAsia" w:ascii="宋体" w:hAnsi="宋体" w:eastAsia="宋体" w:cs="宋体"/>
                <w:i w:val="0"/>
                <w:iCs w:val="0"/>
                <w:color w:val="000000"/>
                <w:kern w:val="0"/>
                <w:sz w:val="24"/>
                <w:szCs w:val="24"/>
                <w:u w:val="none"/>
                <w:lang w:val="en-US" w:eastAsia="zh-CN" w:bidi="ar"/>
              </w:rPr>
              <w:t>表</w:t>
            </w:r>
          </w:p>
        </w:tc>
      </w:tr>
      <w:tr>
        <w:tblPrEx>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编制单位：东安县机关事务服务中心</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2018年度</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金额单位：元</w:t>
            </w:r>
          </w:p>
        </w:tc>
      </w:tr>
      <w:tr>
        <w:tblPrEx>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410"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1275"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25"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645"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765"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735"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930" w:type="dxa"/>
            <w:vMerge w:val="restart"/>
            <w:tcBorders>
              <w:top w:val="single" w:color="000000" w:sz="4" w:space="0"/>
              <w:left w:val="nil"/>
              <w:bottom w:val="single" w:color="000000" w:sz="4" w:space="0"/>
              <w:right w:val="single" w:color="000000" w:sz="8"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CellMar>
            <w:top w:w="0" w:type="dxa"/>
            <w:left w:w="108" w:type="dxa"/>
            <w:bottom w:w="0" w:type="dxa"/>
            <w:right w:w="108" w:type="dxa"/>
          </w:tblCellMar>
        </w:tblPrEx>
        <w:trPr>
          <w:trHeight w:val="308" w:hRule="atLeast"/>
        </w:trPr>
        <w:tc>
          <w:tcPr>
            <w:tcW w:w="990"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支出功能分类科目编码</w:t>
            </w:r>
          </w:p>
        </w:tc>
        <w:tc>
          <w:tcPr>
            <w:tcW w:w="0" w:type="auto"/>
            <w:vMerge w:val="restart"/>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41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27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4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6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3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30" w:type="dxa"/>
            <w:vMerge w:val="continue"/>
            <w:tcBorders>
              <w:top w:val="single" w:color="000000" w:sz="4" w:space="0"/>
              <w:left w:val="nil"/>
              <w:bottom w:val="single" w:color="000000" w:sz="4" w:space="0"/>
              <w:right w:val="single" w:color="000000" w:sz="8"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08" w:hRule="atLeast"/>
        </w:trPr>
        <w:tc>
          <w:tcPr>
            <w:tcW w:w="990"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41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27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4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6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3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30" w:type="dxa"/>
            <w:vMerge w:val="continue"/>
            <w:tcBorders>
              <w:top w:val="single" w:color="000000" w:sz="4" w:space="0"/>
              <w:left w:val="nil"/>
              <w:bottom w:val="single" w:color="000000" w:sz="4" w:space="0"/>
              <w:right w:val="single" w:color="000000" w:sz="8"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08" w:hRule="atLeast"/>
        </w:trPr>
        <w:tc>
          <w:tcPr>
            <w:tcW w:w="990"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41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27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4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6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3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30" w:type="dxa"/>
            <w:vMerge w:val="continue"/>
            <w:tcBorders>
              <w:top w:val="single" w:color="000000" w:sz="4" w:space="0"/>
              <w:left w:val="nil"/>
              <w:bottom w:val="single" w:color="000000" w:sz="4" w:space="0"/>
              <w:right w:val="single" w:color="000000" w:sz="8"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0" w:type="auto"/>
            <w:vMerge w:val="restart"/>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0" w:type="auto"/>
            <w:vMerge w:val="restart"/>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41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7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4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3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930" w:type="dxa"/>
            <w:tcBorders>
              <w:top w:val="nil"/>
              <w:left w:val="nil"/>
              <w:bottom w:val="single" w:color="000000" w:sz="4" w:space="0"/>
              <w:right w:val="single" w:color="000000" w:sz="8"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党委办公厅（室）及相关机构事务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2013103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机关服务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bl>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tbl>
      <w:tblPr>
        <w:tblStyle w:val="6"/>
        <w:tblW w:w="7665" w:type="dxa"/>
        <w:tblInd w:w="93" w:type="dxa"/>
        <w:shd w:val="clear" w:color="auto" w:fill="auto"/>
        <w:tblLayout w:type="autofit"/>
        <w:tblCellMar>
          <w:top w:w="0" w:type="dxa"/>
          <w:left w:w="108" w:type="dxa"/>
          <w:bottom w:w="0" w:type="dxa"/>
          <w:right w:w="108" w:type="dxa"/>
        </w:tblCellMar>
      </w:tblPr>
      <w:tblGrid>
        <w:gridCol w:w="2244"/>
        <w:gridCol w:w="332"/>
        <w:gridCol w:w="332"/>
        <w:gridCol w:w="1959"/>
        <w:gridCol w:w="913"/>
        <w:gridCol w:w="913"/>
        <w:gridCol w:w="797"/>
        <w:gridCol w:w="448"/>
        <w:gridCol w:w="448"/>
        <w:gridCol w:w="978"/>
      </w:tblGrid>
      <w:tr>
        <w:tblPrEx>
          <w:tblCellMar>
            <w:top w:w="0" w:type="dxa"/>
            <w:left w:w="108" w:type="dxa"/>
            <w:bottom w:w="0" w:type="dxa"/>
            <w:right w:w="108" w:type="dxa"/>
          </w:tblCellMar>
        </w:tblPrEx>
        <w:trPr>
          <w:trHeight w:val="540" w:hRule="atLeast"/>
        </w:trPr>
        <w:tc>
          <w:tcPr>
            <w:tcW w:w="7665"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支出决算表</w:t>
            </w:r>
          </w:p>
        </w:tc>
      </w:tr>
      <w:tr>
        <w:tblPrEx>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公开</w:t>
            </w:r>
            <w:r>
              <w:rPr>
                <w:rFonts w:hint="eastAsia" w:ascii="宋体" w:hAnsi="宋体" w:eastAsia="宋体" w:cs="宋体"/>
                <w:i w:val="0"/>
                <w:iCs w:val="0"/>
                <w:color w:val="000000"/>
                <w:kern w:val="0"/>
                <w:sz w:val="24"/>
                <w:szCs w:val="24"/>
                <w:u w:val="none"/>
                <w:lang w:val="en-US" w:eastAsia="zh-CN" w:bidi="ar"/>
              </w:rPr>
              <w:t>0</w:t>
            </w:r>
            <w:r>
              <w:rPr>
                <w:rFonts w:hint="eastAsia" w:ascii="宋体" w:hAnsi="宋体" w:cs="宋体"/>
                <w:i w:val="0"/>
                <w:iCs w:val="0"/>
                <w:color w:val="000000"/>
                <w:kern w:val="0"/>
                <w:sz w:val="24"/>
                <w:szCs w:val="24"/>
                <w:u w:val="none"/>
                <w:lang w:val="en-US" w:eastAsia="zh-CN" w:bidi="ar"/>
              </w:rPr>
              <w:t>3</w:t>
            </w:r>
            <w:r>
              <w:rPr>
                <w:rFonts w:hint="eastAsia" w:ascii="宋体" w:hAnsi="宋体" w:eastAsia="宋体" w:cs="宋体"/>
                <w:i w:val="0"/>
                <w:iCs w:val="0"/>
                <w:color w:val="000000"/>
                <w:kern w:val="0"/>
                <w:sz w:val="24"/>
                <w:szCs w:val="24"/>
                <w:u w:val="none"/>
                <w:lang w:val="en-US" w:eastAsia="zh-CN" w:bidi="ar"/>
              </w:rPr>
              <w:t>表</w:t>
            </w:r>
          </w:p>
        </w:tc>
      </w:tr>
      <w:tr>
        <w:tblPrEx>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编制单位：东安县机关事务服务中心</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2018年度</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金额单位：元</w:t>
            </w:r>
          </w:p>
        </w:tc>
      </w:tr>
      <w:tr>
        <w:tblPrEx>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290"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155"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050"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750"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675"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750" w:type="dxa"/>
            <w:vMerge w:val="restart"/>
            <w:tcBorders>
              <w:top w:val="single" w:color="000000" w:sz="4" w:space="0"/>
              <w:left w:val="nil"/>
              <w:bottom w:val="single" w:color="000000" w:sz="4" w:space="0"/>
              <w:right w:val="single" w:color="000000" w:sz="8"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CellMar>
            <w:top w:w="0" w:type="dxa"/>
            <w:left w:w="108" w:type="dxa"/>
            <w:bottom w:w="0" w:type="dxa"/>
            <w:right w:w="108" w:type="dxa"/>
          </w:tblCellMar>
        </w:tblPrEx>
        <w:trPr>
          <w:trHeight w:val="308" w:hRule="atLeast"/>
        </w:trPr>
        <w:tc>
          <w:tcPr>
            <w:tcW w:w="780"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支出功能分类科目编码</w:t>
            </w:r>
          </w:p>
        </w:tc>
        <w:tc>
          <w:tcPr>
            <w:tcW w:w="0" w:type="auto"/>
            <w:vMerge w:val="restart"/>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29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15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5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5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7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50" w:type="dxa"/>
            <w:vMerge w:val="continue"/>
            <w:tcBorders>
              <w:top w:val="single" w:color="000000" w:sz="4" w:space="0"/>
              <w:left w:val="nil"/>
              <w:bottom w:val="single" w:color="000000" w:sz="4" w:space="0"/>
              <w:right w:val="single" w:color="000000" w:sz="8"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08" w:hRule="atLeast"/>
        </w:trPr>
        <w:tc>
          <w:tcPr>
            <w:tcW w:w="780"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29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15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5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5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7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50" w:type="dxa"/>
            <w:vMerge w:val="continue"/>
            <w:tcBorders>
              <w:top w:val="single" w:color="000000" w:sz="4" w:space="0"/>
              <w:left w:val="nil"/>
              <w:bottom w:val="single" w:color="000000" w:sz="4" w:space="0"/>
              <w:right w:val="single" w:color="000000" w:sz="8"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08" w:hRule="atLeast"/>
        </w:trPr>
        <w:tc>
          <w:tcPr>
            <w:tcW w:w="780"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29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15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5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5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75"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750" w:type="dxa"/>
            <w:vMerge w:val="continue"/>
            <w:tcBorders>
              <w:top w:val="single" w:color="000000" w:sz="4" w:space="0"/>
              <w:left w:val="nil"/>
              <w:bottom w:val="single" w:color="000000" w:sz="4" w:space="0"/>
              <w:right w:val="single" w:color="000000" w:sz="8"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0" w:type="auto"/>
            <w:vMerge w:val="restart"/>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0" w:type="auto"/>
            <w:vMerge w:val="restart"/>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29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5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5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7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nil"/>
              <w:left w:val="nil"/>
              <w:bottom w:val="single" w:color="000000" w:sz="4" w:space="0"/>
              <w:right w:val="single" w:color="000000" w:sz="8"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62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党委办公厅（室）及相关机构事务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2013103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机关服务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bl>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r>
        <w:rPr>
          <w:rFonts w:hint="eastAsia" w:ascii="仿宋_GB2312" w:hAnsi="宋体" w:eastAsia="仿宋_GB2312" w:cs="黑体"/>
          <w:b/>
          <w:color w:val="000000"/>
          <w:kern w:val="0"/>
          <w:sz w:val="30"/>
          <w:szCs w:val="30"/>
        </w:rPr>
        <w:t>财政拨款收入支出决算总表</w:t>
      </w:r>
    </w:p>
    <w:tbl>
      <w:tblPr>
        <w:tblStyle w:val="6"/>
        <w:tblW w:w="16995" w:type="dxa"/>
        <w:tblInd w:w="93" w:type="dxa"/>
        <w:shd w:val="clear" w:color="auto" w:fill="auto"/>
        <w:tblLayout w:type="autofit"/>
        <w:tblCellMar>
          <w:top w:w="0" w:type="dxa"/>
          <w:left w:w="108" w:type="dxa"/>
          <w:bottom w:w="0" w:type="dxa"/>
          <w:right w:w="108" w:type="dxa"/>
        </w:tblCellMar>
      </w:tblPr>
      <w:tblGrid>
        <w:gridCol w:w="3076"/>
        <w:gridCol w:w="436"/>
        <w:gridCol w:w="1536"/>
        <w:gridCol w:w="1536"/>
        <w:gridCol w:w="1536"/>
        <w:gridCol w:w="3076"/>
        <w:gridCol w:w="436"/>
        <w:gridCol w:w="1536"/>
        <w:gridCol w:w="1536"/>
        <w:gridCol w:w="656"/>
        <w:gridCol w:w="1536"/>
        <w:gridCol w:w="1536"/>
        <w:gridCol w:w="656"/>
        <w:gridCol w:w="1536"/>
        <w:gridCol w:w="1536"/>
        <w:gridCol w:w="656"/>
      </w:tblGrid>
      <w:tr>
        <w:tblPrEx>
          <w:tblCellMar>
            <w:top w:w="0" w:type="dxa"/>
            <w:left w:w="108" w:type="dxa"/>
            <w:bottom w:w="0" w:type="dxa"/>
            <w:right w:w="108" w:type="dxa"/>
          </w:tblCellMar>
        </w:tblPrEx>
        <w:trPr>
          <w:trHeight w:val="308" w:hRule="atLeast"/>
        </w:trPr>
        <w:tc>
          <w:tcPr>
            <w:tcW w:w="5130" w:type="dxa"/>
            <w:gridSpan w:val="5"/>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11865" w:type="dxa"/>
            <w:gridSpan w:val="11"/>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CellMar>
            <w:top w:w="0" w:type="dxa"/>
            <w:left w:w="108" w:type="dxa"/>
            <w:bottom w:w="0" w:type="dxa"/>
            <w:right w:w="108" w:type="dxa"/>
          </w:tblCellMar>
        </w:tblPrEx>
        <w:trPr>
          <w:trHeight w:val="292" w:hRule="atLeast"/>
        </w:trPr>
        <w:tc>
          <w:tcPr>
            <w:tcW w:w="1335" w:type="dxa"/>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    目</w:t>
            </w:r>
          </w:p>
        </w:tc>
        <w:tc>
          <w:tcPr>
            <w:tcW w:w="57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095"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年初预算数</w:t>
            </w:r>
          </w:p>
        </w:tc>
        <w:tc>
          <w:tcPr>
            <w:tcW w:w="102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调整预算数</w:t>
            </w:r>
          </w:p>
        </w:tc>
        <w:tc>
          <w:tcPr>
            <w:tcW w:w="111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177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项目（按功能分类）</w:t>
            </w:r>
          </w:p>
        </w:tc>
        <w:tc>
          <w:tcPr>
            <w:tcW w:w="57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gridSpan w:val="3"/>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年初预算数</w:t>
            </w:r>
          </w:p>
        </w:tc>
        <w:tc>
          <w:tcPr>
            <w:tcW w:w="0" w:type="auto"/>
            <w:gridSpan w:val="3"/>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调整预算数</w:t>
            </w:r>
          </w:p>
        </w:tc>
        <w:tc>
          <w:tcPr>
            <w:tcW w:w="0" w:type="auto"/>
            <w:gridSpan w:val="3"/>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CellMar>
            <w:top w:w="0" w:type="dxa"/>
            <w:left w:w="108" w:type="dxa"/>
            <w:bottom w:w="0" w:type="dxa"/>
            <w:right w:w="108" w:type="dxa"/>
          </w:tblCellMar>
        </w:tblPrEx>
        <w:trPr>
          <w:trHeight w:val="615" w:hRule="atLeast"/>
        </w:trPr>
        <w:tc>
          <w:tcPr>
            <w:tcW w:w="1335"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95"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2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11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7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12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87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02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90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08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230" w:type="dxa"/>
            <w:tcBorders>
              <w:top w:val="nil"/>
              <w:left w:val="nil"/>
              <w:bottom w:val="single" w:color="000000" w:sz="4" w:space="0"/>
              <w:right w:val="single" w:color="000000" w:sz="8"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    次</w:t>
            </w:r>
          </w:p>
        </w:tc>
        <w:tc>
          <w:tcPr>
            <w:tcW w:w="0" w:type="auto"/>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    次</w:t>
            </w:r>
          </w:p>
        </w:tc>
        <w:tc>
          <w:tcPr>
            <w:tcW w:w="0" w:type="auto"/>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8"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七、文化体育与传媒支出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九、医疗卫生与计划生育支出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十四、资源勘探信息等支出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十八、国土海洋气象等支出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二十一、其他支出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二十二、债务还本支出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二十三、债务付息支出</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基本支出结转</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项目支出结转和结余</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8"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8"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8"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8"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bl>
    <w:p>
      <w:pPr>
        <w:widowControl/>
        <w:spacing w:line="720" w:lineRule="exact"/>
        <w:jc w:val="left"/>
        <w:rPr>
          <w:rFonts w:hint="eastAsia" w:ascii="仿宋_GB2312" w:hAnsi="宋体" w:eastAsia="仿宋_GB2312" w:cs="黑体"/>
          <w:b/>
          <w:color w:val="000000"/>
          <w:kern w:val="0"/>
          <w:sz w:val="30"/>
          <w:szCs w:val="30"/>
        </w:rPr>
      </w:pPr>
    </w:p>
    <w:tbl>
      <w:tblPr>
        <w:tblStyle w:val="6"/>
        <w:tblpPr w:leftFromText="180" w:rightFromText="180" w:vertAnchor="text" w:horzAnchor="page" w:tblpX="105" w:tblpY="1593"/>
        <w:tblOverlap w:val="never"/>
        <w:tblW w:w="21378" w:type="dxa"/>
        <w:tblInd w:w="0" w:type="dxa"/>
        <w:shd w:val="clear" w:color="auto" w:fill="auto"/>
        <w:tblLayout w:type="autofit"/>
        <w:tblCellMar>
          <w:top w:w="0" w:type="dxa"/>
          <w:left w:w="108" w:type="dxa"/>
          <w:bottom w:w="0" w:type="dxa"/>
          <w:right w:w="108" w:type="dxa"/>
        </w:tblCellMar>
      </w:tblPr>
      <w:tblGrid>
        <w:gridCol w:w="493"/>
        <w:gridCol w:w="493"/>
        <w:gridCol w:w="3516"/>
        <w:gridCol w:w="656"/>
        <w:gridCol w:w="656"/>
        <w:gridCol w:w="656"/>
        <w:gridCol w:w="1536"/>
        <w:gridCol w:w="1536"/>
        <w:gridCol w:w="1316"/>
        <w:gridCol w:w="1536"/>
        <w:gridCol w:w="1536"/>
        <w:gridCol w:w="1536"/>
        <w:gridCol w:w="1316"/>
        <w:gridCol w:w="1316"/>
        <w:gridCol w:w="656"/>
        <w:gridCol w:w="656"/>
        <w:gridCol w:w="656"/>
        <w:gridCol w:w="656"/>
        <w:gridCol w:w="656"/>
      </w:tblGrid>
      <w:tr>
        <w:tblPrEx>
          <w:shd w:val="clear" w:color="auto" w:fill="auto"/>
          <w:tblCellMar>
            <w:top w:w="0" w:type="dxa"/>
            <w:left w:w="108" w:type="dxa"/>
            <w:bottom w:w="0" w:type="dxa"/>
            <w:right w:w="108" w:type="dxa"/>
          </w:tblCellMar>
        </w:tblPrEx>
        <w:trPr>
          <w:trHeight w:val="308" w:hRule="atLeast"/>
        </w:trPr>
        <w:tc>
          <w:tcPr>
            <w:tcW w:w="4502" w:type="dxa"/>
            <w:gridSpan w:val="3"/>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968" w:type="dxa"/>
            <w:gridSpan w:val="3"/>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4388" w:type="dxa"/>
            <w:gridSpan w:val="3"/>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7240" w:type="dxa"/>
            <w:gridSpan w:val="5"/>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3280" w:type="dxa"/>
            <w:gridSpan w:val="5"/>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shd w:val="clear" w:color="auto" w:fill="auto"/>
          <w:tblCellMar>
            <w:top w:w="0" w:type="dxa"/>
            <w:left w:w="108" w:type="dxa"/>
            <w:bottom w:w="0" w:type="dxa"/>
            <w:right w:w="108" w:type="dxa"/>
          </w:tblCellMar>
        </w:tblPrEx>
        <w:trPr>
          <w:trHeight w:val="308" w:hRule="atLeast"/>
        </w:trPr>
        <w:tc>
          <w:tcPr>
            <w:tcW w:w="986" w:type="dxa"/>
            <w:gridSpan w:val="2"/>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支出功能分类科目编码</w:t>
            </w:r>
          </w:p>
        </w:tc>
        <w:tc>
          <w:tcPr>
            <w:tcW w:w="351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5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5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基本支出结转</w:t>
            </w:r>
          </w:p>
        </w:tc>
        <w:tc>
          <w:tcPr>
            <w:tcW w:w="65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项目支出结转和结余</w:t>
            </w:r>
          </w:p>
        </w:tc>
        <w:tc>
          <w:tcPr>
            <w:tcW w:w="153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53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31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53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388" w:type="dxa"/>
            <w:gridSpan w:val="3"/>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31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65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5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基本支出结转</w:t>
            </w:r>
          </w:p>
        </w:tc>
        <w:tc>
          <w:tcPr>
            <w:tcW w:w="1968" w:type="dxa"/>
            <w:gridSpan w:val="3"/>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项目支出结转和结余</w:t>
            </w:r>
          </w:p>
        </w:tc>
      </w:tr>
      <w:tr>
        <w:tblPrEx>
          <w:shd w:val="clear" w:color="auto" w:fill="auto"/>
          <w:tblCellMar>
            <w:top w:w="0" w:type="dxa"/>
            <w:left w:w="108" w:type="dxa"/>
            <w:bottom w:w="0" w:type="dxa"/>
            <w:right w:w="108" w:type="dxa"/>
          </w:tblCellMar>
        </w:tblPrEx>
        <w:trPr>
          <w:trHeight w:val="277" w:hRule="atLeast"/>
        </w:trPr>
        <w:tc>
          <w:tcPr>
            <w:tcW w:w="986" w:type="dxa"/>
            <w:gridSpan w:val="2"/>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51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3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3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1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3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3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53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131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日常公用经费</w:t>
            </w:r>
          </w:p>
        </w:tc>
        <w:tc>
          <w:tcPr>
            <w:tcW w:w="131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65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项目支出结转</w:t>
            </w:r>
          </w:p>
        </w:tc>
        <w:tc>
          <w:tcPr>
            <w:tcW w:w="656" w:type="dxa"/>
            <w:vMerge w:val="restart"/>
            <w:tcBorders>
              <w:top w:val="nil"/>
              <w:left w:val="nil"/>
              <w:bottom w:val="single" w:color="000000" w:sz="4" w:space="0"/>
              <w:right w:val="single" w:color="000000" w:sz="8"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项目支出结余</w:t>
            </w:r>
          </w:p>
        </w:tc>
      </w:tr>
      <w:tr>
        <w:tblPrEx>
          <w:shd w:val="clear" w:color="auto" w:fill="auto"/>
          <w:tblCellMar>
            <w:top w:w="0" w:type="dxa"/>
            <w:left w:w="108" w:type="dxa"/>
            <w:bottom w:w="0" w:type="dxa"/>
            <w:right w:w="108" w:type="dxa"/>
          </w:tblCellMar>
        </w:tblPrEx>
        <w:trPr>
          <w:trHeight w:val="615" w:hRule="atLeast"/>
        </w:trPr>
        <w:tc>
          <w:tcPr>
            <w:tcW w:w="986" w:type="dxa"/>
            <w:gridSpan w:val="2"/>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51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3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3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1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3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3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3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1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1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56" w:type="dxa"/>
            <w:vMerge w:val="continue"/>
            <w:tcBorders>
              <w:top w:val="nil"/>
              <w:left w:val="nil"/>
              <w:bottom w:val="single" w:color="000000" w:sz="4" w:space="0"/>
              <w:right w:val="single" w:color="000000" w:sz="8"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493" w:type="dxa"/>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493"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3516"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36" w:type="dxa"/>
            <w:tcBorders>
              <w:top w:val="nil"/>
              <w:left w:val="nil"/>
              <w:bottom w:val="single" w:color="000000" w:sz="4" w:space="0"/>
              <w:right w:val="single" w:color="000000" w:sz="4" w:space="0"/>
            </w:tcBorders>
            <w:shd w:val="clear" w:color="FFFFFF" w:fill="C0C0C0"/>
            <w:noWrap/>
            <w:vAlign w:val="top"/>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3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1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3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53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53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31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1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6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6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6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6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656" w:type="dxa"/>
            <w:tcBorders>
              <w:top w:val="nil"/>
              <w:left w:val="nil"/>
              <w:bottom w:val="single" w:color="000000" w:sz="4" w:space="0"/>
              <w:right w:val="single" w:color="000000" w:sz="8"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tblPrEx>
          <w:shd w:val="clear" w:color="auto" w:fill="auto"/>
          <w:tblCellMar>
            <w:top w:w="0" w:type="dxa"/>
            <w:left w:w="108" w:type="dxa"/>
            <w:bottom w:w="0" w:type="dxa"/>
            <w:right w:w="108" w:type="dxa"/>
          </w:tblCellMar>
        </w:tblPrEx>
        <w:trPr>
          <w:trHeight w:val="308" w:hRule="atLeast"/>
        </w:trPr>
        <w:tc>
          <w:tcPr>
            <w:tcW w:w="49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93"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516"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13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1,483,103.00</w:t>
            </w:r>
          </w:p>
        </w:tc>
        <w:tc>
          <w:tcPr>
            <w:tcW w:w="13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275,649.00</w:t>
            </w:r>
          </w:p>
        </w:tc>
        <w:tc>
          <w:tcPr>
            <w:tcW w:w="13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986" w:type="dxa"/>
            <w:gridSpan w:val="2"/>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35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13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1,483,103.00</w:t>
            </w:r>
          </w:p>
        </w:tc>
        <w:tc>
          <w:tcPr>
            <w:tcW w:w="13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275,649.00</w:t>
            </w:r>
          </w:p>
        </w:tc>
        <w:tc>
          <w:tcPr>
            <w:tcW w:w="13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986" w:type="dxa"/>
            <w:gridSpan w:val="2"/>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20131</w:t>
            </w:r>
          </w:p>
        </w:tc>
        <w:tc>
          <w:tcPr>
            <w:tcW w:w="35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党委办公厅（室）及相关机构事务</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13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1,483,103.00</w:t>
            </w:r>
          </w:p>
        </w:tc>
        <w:tc>
          <w:tcPr>
            <w:tcW w:w="13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275,649.00</w:t>
            </w:r>
          </w:p>
        </w:tc>
        <w:tc>
          <w:tcPr>
            <w:tcW w:w="13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986" w:type="dxa"/>
            <w:gridSpan w:val="2"/>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2013103</w:t>
            </w:r>
          </w:p>
        </w:tc>
        <w:tc>
          <w:tcPr>
            <w:tcW w:w="3516" w:type="dxa"/>
            <w:tcBorders>
              <w:top w:val="nil"/>
              <w:left w:val="nil"/>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机关服务</w:t>
            </w:r>
          </w:p>
        </w:tc>
        <w:tc>
          <w:tcPr>
            <w:tcW w:w="65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53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153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131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153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153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1,758,752.00</w:t>
            </w:r>
          </w:p>
        </w:tc>
        <w:tc>
          <w:tcPr>
            <w:tcW w:w="153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1,483,103.00</w:t>
            </w:r>
          </w:p>
        </w:tc>
        <w:tc>
          <w:tcPr>
            <w:tcW w:w="131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275,649.00</w:t>
            </w:r>
          </w:p>
        </w:tc>
        <w:tc>
          <w:tcPr>
            <w:tcW w:w="131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971,248.00</w:t>
            </w:r>
          </w:p>
        </w:tc>
        <w:tc>
          <w:tcPr>
            <w:tcW w:w="65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56" w:type="dxa"/>
            <w:tcBorders>
              <w:top w:val="nil"/>
              <w:left w:val="nil"/>
              <w:bottom w:val="nil"/>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986" w:type="dxa"/>
            <w:gridSpan w:val="2"/>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35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3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53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3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31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6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656" w:type="dxa"/>
            <w:tcBorders>
              <w:top w:val="nil"/>
              <w:left w:val="nil"/>
              <w:bottom w:val="single" w:color="000000" w:sz="4"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bl>
    <w:p>
      <w:pPr>
        <w:widowControl/>
        <w:spacing w:line="720" w:lineRule="exact"/>
        <w:jc w:val="left"/>
        <w:rPr>
          <w:rFonts w:hint="eastAsia" w:ascii="仿宋_GB2312" w:hAnsi="宋体" w:eastAsia="仿宋_GB2312" w:cs="黑体"/>
          <w:b/>
          <w:color w:val="000000"/>
          <w:kern w:val="0"/>
          <w:sz w:val="30"/>
          <w:szCs w:val="30"/>
        </w:rPr>
      </w:pPr>
      <w:r>
        <w:rPr>
          <w:rFonts w:hint="eastAsia" w:ascii="仿宋_GB2312" w:hAnsi="宋体" w:eastAsia="仿宋_GB2312" w:cs="黑体"/>
          <w:b/>
          <w:color w:val="000000"/>
          <w:kern w:val="0"/>
          <w:sz w:val="32"/>
          <w:szCs w:val="32"/>
        </w:rPr>
        <w:t>一般公共预算财政拨款支出决算表</w:t>
      </w: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r>
        <w:rPr>
          <w:rFonts w:hint="eastAsia" w:ascii="宋体" w:hAnsi="宋体" w:cs="Arial"/>
          <w:color w:val="000000"/>
          <w:kern w:val="0"/>
          <w:sz w:val="28"/>
          <w:szCs w:val="28"/>
        </w:rPr>
        <w:t>一般公共预算财政拨款基本支出决算表</w:t>
      </w:r>
    </w:p>
    <w:tbl>
      <w:tblPr>
        <w:tblStyle w:val="6"/>
        <w:tblW w:w="9000" w:type="dxa"/>
        <w:tblInd w:w="93" w:type="dxa"/>
        <w:shd w:val="clear" w:color="auto" w:fill="auto"/>
        <w:tblLayout w:type="autofit"/>
        <w:tblCellMar>
          <w:top w:w="0" w:type="dxa"/>
          <w:left w:w="108" w:type="dxa"/>
          <w:bottom w:w="0" w:type="dxa"/>
          <w:right w:w="108" w:type="dxa"/>
        </w:tblCellMar>
      </w:tblPr>
      <w:tblGrid>
        <w:gridCol w:w="392"/>
        <w:gridCol w:w="392"/>
        <w:gridCol w:w="392"/>
        <w:gridCol w:w="2861"/>
        <w:gridCol w:w="1274"/>
        <w:gridCol w:w="1274"/>
        <w:gridCol w:w="1389"/>
        <w:gridCol w:w="1390"/>
      </w:tblGrid>
      <w:tr>
        <w:tblPrEx>
          <w:tblCellMar>
            <w:top w:w="0" w:type="dxa"/>
            <w:left w:w="108" w:type="dxa"/>
            <w:bottom w:w="0" w:type="dxa"/>
            <w:right w:w="108" w:type="dxa"/>
          </w:tblCellMar>
        </w:tblPrEx>
        <w:trPr>
          <w:trHeight w:val="308" w:hRule="atLeast"/>
        </w:trPr>
        <w:tc>
          <w:tcPr>
            <w:tcW w:w="2715" w:type="dxa"/>
            <w:gridSpan w:val="4"/>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680"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245" w:type="dxa"/>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1680" w:type="dxa"/>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1680" w:type="dxa"/>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r>
      <w:tr>
        <w:tblPrEx>
          <w:tblCellMar>
            <w:top w:w="0" w:type="dxa"/>
            <w:left w:w="108" w:type="dxa"/>
            <w:bottom w:w="0" w:type="dxa"/>
            <w:right w:w="108" w:type="dxa"/>
          </w:tblCellMar>
        </w:tblPrEx>
        <w:trPr>
          <w:trHeight w:val="308" w:hRule="atLeast"/>
        </w:trPr>
        <w:tc>
          <w:tcPr>
            <w:tcW w:w="990"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支出功能分类科目编码</w:t>
            </w:r>
          </w:p>
        </w:tc>
        <w:tc>
          <w:tcPr>
            <w:tcW w:w="1725"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68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245"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68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68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r>
      <w:tr>
        <w:tblPrEx>
          <w:tblCellMar>
            <w:top w:w="0" w:type="dxa"/>
            <w:left w:w="108" w:type="dxa"/>
            <w:bottom w:w="0" w:type="dxa"/>
            <w:right w:w="108" w:type="dxa"/>
          </w:tblCellMar>
        </w:tblPrEx>
        <w:trPr>
          <w:trHeight w:val="308" w:hRule="atLeast"/>
        </w:trPr>
        <w:tc>
          <w:tcPr>
            <w:tcW w:w="990"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5"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68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245"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990"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5"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68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245"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68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330" w:type="dxa"/>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w:t>
            </w:r>
          </w:p>
        </w:tc>
        <w:tc>
          <w:tcPr>
            <w:tcW w:w="33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款</w:t>
            </w:r>
          </w:p>
        </w:tc>
        <w:tc>
          <w:tcPr>
            <w:tcW w:w="33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72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68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4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8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68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tblPrEx>
          <w:shd w:val="clear" w:color="auto" w:fill="auto"/>
          <w:tblCellMar>
            <w:top w:w="0" w:type="dxa"/>
            <w:left w:w="108" w:type="dxa"/>
            <w:bottom w:w="0" w:type="dxa"/>
            <w:right w:w="108" w:type="dxa"/>
          </w:tblCellMar>
        </w:tblPrEx>
        <w:trPr>
          <w:trHeight w:val="308" w:hRule="atLeast"/>
        </w:trPr>
        <w:tc>
          <w:tcPr>
            <w:tcW w:w="33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3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3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1,391,282.00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1,246,897.00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91,821.00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1,391,282.00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1,246,897.00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91,821.00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党委办公厅（室）及相关机构事务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1,391,282.00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1,246,897.00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91,821.00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2013103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机关服务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2,730,000.00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1,391,282.00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1,246,897.00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91,821.00</w:t>
            </w:r>
          </w:p>
        </w:tc>
      </w:tr>
    </w:tbl>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tbl>
      <w:tblPr>
        <w:tblStyle w:val="6"/>
        <w:tblpPr w:leftFromText="180" w:rightFromText="180" w:vertAnchor="text" w:horzAnchor="page" w:tblpX="100" w:tblpY="-3796"/>
        <w:tblOverlap w:val="never"/>
        <w:tblW w:w="11180" w:type="dxa"/>
        <w:tblInd w:w="0" w:type="dxa"/>
        <w:tblLayout w:type="fixed"/>
        <w:tblCellMar>
          <w:top w:w="0" w:type="dxa"/>
          <w:left w:w="108" w:type="dxa"/>
          <w:bottom w:w="0" w:type="dxa"/>
          <w:right w:w="108" w:type="dxa"/>
        </w:tblCellMar>
      </w:tblPr>
      <w:tblGrid>
        <w:gridCol w:w="863"/>
        <w:gridCol w:w="1069"/>
        <w:gridCol w:w="791"/>
        <w:gridCol w:w="930"/>
        <w:gridCol w:w="788"/>
        <w:gridCol w:w="1108"/>
        <w:gridCol w:w="489"/>
        <w:gridCol w:w="984"/>
        <w:gridCol w:w="1179"/>
        <w:gridCol w:w="930"/>
        <w:gridCol w:w="1035"/>
        <w:gridCol w:w="1014"/>
      </w:tblGrid>
      <w:tr>
        <w:tblPrEx>
          <w:tblCellMar>
            <w:top w:w="0" w:type="dxa"/>
            <w:left w:w="108" w:type="dxa"/>
            <w:bottom w:w="0" w:type="dxa"/>
            <w:right w:w="108" w:type="dxa"/>
          </w:tblCellMar>
        </w:tblPrEx>
        <w:trPr>
          <w:trHeight w:val="603" w:hRule="atLeast"/>
        </w:trPr>
        <w:tc>
          <w:tcPr>
            <w:tcW w:w="11180" w:type="dxa"/>
            <w:gridSpan w:val="12"/>
            <w:tcBorders>
              <w:top w:val="nil"/>
              <w:left w:val="nil"/>
              <w:bottom w:val="nil"/>
              <w:right w:val="nil"/>
            </w:tcBorders>
            <w:noWrap/>
            <w:vAlign w:val="bottom"/>
          </w:tcPr>
          <w:p>
            <w:pPr>
              <w:widowControl/>
              <w:jc w:val="center"/>
              <w:rPr>
                <w:rFonts w:ascii="宋体" w:hAnsi="宋体" w:cs="Arial"/>
                <w:color w:val="000000"/>
                <w:kern w:val="0"/>
                <w:sz w:val="28"/>
                <w:szCs w:val="28"/>
              </w:rPr>
            </w:pPr>
            <w:r>
              <w:rPr>
                <w:rFonts w:hint="eastAsia" w:ascii="宋体" w:hAnsi="宋体" w:cs="Arial"/>
                <w:color w:val="000000"/>
                <w:kern w:val="0"/>
                <w:sz w:val="28"/>
                <w:szCs w:val="28"/>
              </w:rPr>
              <w:t>一般公共预算财政拨款“三公”经费支出决算表</w:t>
            </w:r>
          </w:p>
        </w:tc>
      </w:tr>
      <w:tr>
        <w:tblPrEx>
          <w:tblCellMar>
            <w:top w:w="0" w:type="dxa"/>
            <w:left w:w="108" w:type="dxa"/>
            <w:bottom w:w="0" w:type="dxa"/>
            <w:right w:w="108" w:type="dxa"/>
          </w:tblCellMar>
        </w:tblPrEx>
        <w:trPr>
          <w:trHeight w:val="302" w:hRule="atLeast"/>
        </w:trPr>
        <w:tc>
          <w:tcPr>
            <w:tcW w:w="863"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1069"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791"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930"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788"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1108"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489"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984"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1179"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930"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1035"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1014" w:type="dxa"/>
            <w:tcBorders>
              <w:top w:val="nil"/>
              <w:left w:val="nil"/>
              <w:bottom w:val="nil"/>
              <w:right w:val="nil"/>
            </w:tcBorders>
            <w:noWrap/>
            <w:vAlign w:val="bottom"/>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公开07表</w:t>
            </w:r>
          </w:p>
        </w:tc>
      </w:tr>
      <w:tr>
        <w:tblPrEx>
          <w:tblCellMar>
            <w:top w:w="0" w:type="dxa"/>
            <w:left w:w="108" w:type="dxa"/>
            <w:bottom w:w="0" w:type="dxa"/>
            <w:right w:w="108" w:type="dxa"/>
          </w:tblCellMar>
        </w:tblPrEx>
        <w:trPr>
          <w:trHeight w:val="603" w:hRule="atLeast"/>
        </w:trPr>
        <w:tc>
          <w:tcPr>
            <w:tcW w:w="2723" w:type="dxa"/>
            <w:gridSpan w:val="3"/>
            <w:tcBorders>
              <w:top w:val="nil"/>
              <w:left w:val="nil"/>
              <w:bottom w:val="nil"/>
              <w:right w:val="nil"/>
            </w:tcBorders>
            <w:noWrap/>
            <w:vAlign w:val="bottom"/>
          </w:tcPr>
          <w:p>
            <w:pPr>
              <w:widowControl/>
              <w:jc w:val="left"/>
              <w:rPr>
                <w:rFonts w:hint="default" w:ascii="宋体" w:hAnsi="宋体" w:eastAsia="宋体" w:cs="Arial"/>
                <w:color w:val="000000"/>
                <w:kern w:val="0"/>
                <w:sz w:val="18"/>
                <w:szCs w:val="18"/>
                <w:lang w:val="en-US" w:eastAsia="zh-CN"/>
              </w:rPr>
            </w:pPr>
            <w:r>
              <w:rPr>
                <w:rFonts w:hint="eastAsia" w:ascii="宋体" w:hAnsi="宋体" w:cs="Arial"/>
                <w:color w:val="000000"/>
                <w:kern w:val="0"/>
                <w:sz w:val="18"/>
                <w:szCs w:val="18"/>
              </w:rPr>
              <w:t>部门：东安县</w:t>
            </w:r>
            <w:r>
              <w:rPr>
                <w:rFonts w:hint="eastAsia" w:ascii="宋体" w:hAnsi="宋体" w:cs="Arial"/>
                <w:color w:val="000000"/>
                <w:kern w:val="0"/>
                <w:sz w:val="18"/>
                <w:szCs w:val="18"/>
                <w:lang w:val="en-US" w:eastAsia="zh-CN"/>
              </w:rPr>
              <w:t>机关事务服务中心</w:t>
            </w:r>
          </w:p>
        </w:tc>
        <w:tc>
          <w:tcPr>
            <w:tcW w:w="930"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788"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1108"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489"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984"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1179"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930"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1035"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1014" w:type="dxa"/>
            <w:tcBorders>
              <w:top w:val="nil"/>
              <w:left w:val="nil"/>
              <w:bottom w:val="nil"/>
              <w:right w:val="nil"/>
            </w:tcBorders>
            <w:noWrap/>
            <w:vAlign w:val="bottom"/>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金额单位：元</w:t>
            </w:r>
          </w:p>
        </w:tc>
      </w:tr>
      <w:tr>
        <w:tblPrEx>
          <w:tblCellMar>
            <w:top w:w="0" w:type="dxa"/>
            <w:left w:w="108" w:type="dxa"/>
            <w:bottom w:w="0" w:type="dxa"/>
            <w:right w:w="108" w:type="dxa"/>
          </w:tblCellMar>
        </w:tblPrEx>
        <w:trPr>
          <w:trHeight w:val="311" w:hRule="atLeast"/>
        </w:trPr>
        <w:tc>
          <w:tcPr>
            <w:tcW w:w="5549" w:type="dxa"/>
            <w:gridSpan w:val="6"/>
            <w:tcBorders>
              <w:top w:val="single" w:color="000000" w:sz="4" w:space="0"/>
              <w:left w:val="single" w:color="000000" w:sz="4" w:space="0"/>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预算数</w:t>
            </w:r>
          </w:p>
        </w:tc>
        <w:tc>
          <w:tcPr>
            <w:tcW w:w="5631" w:type="dxa"/>
            <w:gridSpan w:val="6"/>
            <w:tcBorders>
              <w:top w:val="single" w:color="000000" w:sz="4" w:space="0"/>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决算数</w:t>
            </w:r>
          </w:p>
        </w:tc>
      </w:tr>
      <w:tr>
        <w:tblPrEx>
          <w:tblCellMar>
            <w:top w:w="0" w:type="dxa"/>
            <w:left w:w="108" w:type="dxa"/>
            <w:bottom w:w="0" w:type="dxa"/>
            <w:right w:w="108" w:type="dxa"/>
          </w:tblCellMar>
        </w:tblPrEx>
        <w:trPr>
          <w:trHeight w:val="311" w:hRule="atLeast"/>
        </w:trPr>
        <w:tc>
          <w:tcPr>
            <w:tcW w:w="863" w:type="dxa"/>
            <w:vMerge w:val="restart"/>
            <w:tcBorders>
              <w:top w:val="nil"/>
              <w:left w:val="single" w:color="000000" w:sz="4" w:space="0"/>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合计</w:t>
            </w:r>
          </w:p>
        </w:tc>
        <w:tc>
          <w:tcPr>
            <w:tcW w:w="1069" w:type="dxa"/>
            <w:vMerge w:val="restart"/>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因公出国（境）费</w:t>
            </w:r>
          </w:p>
        </w:tc>
        <w:tc>
          <w:tcPr>
            <w:tcW w:w="2509" w:type="dxa"/>
            <w:gridSpan w:val="3"/>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公务用车购置及运行费</w:t>
            </w:r>
          </w:p>
        </w:tc>
        <w:tc>
          <w:tcPr>
            <w:tcW w:w="1108" w:type="dxa"/>
            <w:vMerge w:val="restart"/>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公务接待费</w:t>
            </w:r>
          </w:p>
        </w:tc>
        <w:tc>
          <w:tcPr>
            <w:tcW w:w="489" w:type="dxa"/>
            <w:vMerge w:val="restart"/>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合计</w:t>
            </w:r>
          </w:p>
        </w:tc>
        <w:tc>
          <w:tcPr>
            <w:tcW w:w="984" w:type="dxa"/>
            <w:vMerge w:val="restart"/>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因公出国（境）费</w:t>
            </w:r>
          </w:p>
        </w:tc>
        <w:tc>
          <w:tcPr>
            <w:tcW w:w="3144" w:type="dxa"/>
            <w:gridSpan w:val="3"/>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公务用车购置及运行费</w:t>
            </w:r>
          </w:p>
        </w:tc>
        <w:tc>
          <w:tcPr>
            <w:tcW w:w="1014" w:type="dxa"/>
            <w:vMerge w:val="restart"/>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公务接待费</w:t>
            </w:r>
          </w:p>
        </w:tc>
      </w:tr>
      <w:tr>
        <w:tblPrEx>
          <w:tblCellMar>
            <w:top w:w="0" w:type="dxa"/>
            <w:left w:w="108" w:type="dxa"/>
            <w:bottom w:w="0" w:type="dxa"/>
            <w:right w:w="108" w:type="dxa"/>
          </w:tblCellMar>
        </w:tblPrEx>
        <w:trPr>
          <w:trHeight w:val="914" w:hRule="atLeast"/>
        </w:trPr>
        <w:tc>
          <w:tcPr>
            <w:tcW w:w="86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jc w:val="left"/>
              <w:rPr>
                <w:rFonts w:ascii="宋体" w:hAnsi="宋体" w:cs="Arial"/>
                <w:color w:val="000000"/>
                <w:kern w:val="0"/>
                <w:sz w:val="18"/>
                <w:szCs w:val="18"/>
              </w:rPr>
            </w:pPr>
          </w:p>
        </w:tc>
        <w:tc>
          <w:tcPr>
            <w:tcW w:w="1069" w:type="dxa"/>
            <w:vMerge w:val="continue"/>
            <w:tcBorders>
              <w:top w:val="nil"/>
              <w:left w:val="nil"/>
              <w:bottom w:val="single" w:color="000000" w:sz="4" w:space="0"/>
              <w:right w:val="single" w:color="000000" w:sz="4" w:space="0"/>
            </w:tcBorders>
            <w:shd w:val="clear" w:color="auto" w:fill="auto"/>
            <w:noWrap w:val="0"/>
            <w:vAlign w:val="center"/>
          </w:tcPr>
          <w:p>
            <w:pPr>
              <w:widowControl/>
              <w:jc w:val="left"/>
              <w:rPr>
                <w:rFonts w:ascii="宋体" w:hAnsi="宋体" w:cs="Arial"/>
                <w:color w:val="000000"/>
                <w:kern w:val="0"/>
                <w:sz w:val="18"/>
                <w:szCs w:val="18"/>
              </w:rPr>
            </w:pPr>
          </w:p>
        </w:tc>
        <w:tc>
          <w:tcPr>
            <w:tcW w:w="791"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小计</w:t>
            </w:r>
          </w:p>
        </w:tc>
        <w:tc>
          <w:tcPr>
            <w:tcW w:w="930"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公务用车购置费</w:t>
            </w:r>
          </w:p>
        </w:tc>
        <w:tc>
          <w:tcPr>
            <w:tcW w:w="788"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公务用车运行费</w:t>
            </w:r>
          </w:p>
        </w:tc>
        <w:tc>
          <w:tcPr>
            <w:tcW w:w="1108" w:type="dxa"/>
            <w:vMerge w:val="continue"/>
            <w:tcBorders>
              <w:top w:val="nil"/>
              <w:left w:val="nil"/>
              <w:bottom w:val="single" w:color="000000" w:sz="4" w:space="0"/>
              <w:right w:val="single" w:color="000000" w:sz="4" w:space="0"/>
            </w:tcBorders>
            <w:shd w:val="clear" w:color="auto" w:fill="auto"/>
            <w:noWrap w:val="0"/>
            <w:vAlign w:val="center"/>
          </w:tcPr>
          <w:p>
            <w:pPr>
              <w:widowControl/>
              <w:jc w:val="left"/>
              <w:rPr>
                <w:rFonts w:ascii="宋体" w:hAnsi="宋体" w:cs="Arial"/>
                <w:color w:val="000000"/>
                <w:kern w:val="0"/>
                <w:sz w:val="18"/>
                <w:szCs w:val="18"/>
              </w:rPr>
            </w:pPr>
          </w:p>
        </w:tc>
        <w:tc>
          <w:tcPr>
            <w:tcW w:w="489" w:type="dxa"/>
            <w:vMerge w:val="continue"/>
            <w:tcBorders>
              <w:top w:val="nil"/>
              <w:left w:val="nil"/>
              <w:bottom w:val="single" w:color="000000" w:sz="4" w:space="0"/>
              <w:right w:val="single" w:color="000000" w:sz="4" w:space="0"/>
            </w:tcBorders>
            <w:shd w:val="clear" w:color="auto" w:fill="auto"/>
            <w:noWrap w:val="0"/>
            <w:vAlign w:val="center"/>
          </w:tcPr>
          <w:p>
            <w:pPr>
              <w:widowControl/>
              <w:jc w:val="left"/>
              <w:rPr>
                <w:rFonts w:ascii="宋体" w:hAnsi="宋体" w:cs="Arial"/>
                <w:color w:val="000000"/>
                <w:kern w:val="0"/>
                <w:sz w:val="18"/>
                <w:szCs w:val="18"/>
              </w:rPr>
            </w:pPr>
          </w:p>
        </w:tc>
        <w:tc>
          <w:tcPr>
            <w:tcW w:w="984" w:type="dxa"/>
            <w:vMerge w:val="continue"/>
            <w:tcBorders>
              <w:top w:val="nil"/>
              <w:left w:val="nil"/>
              <w:bottom w:val="single" w:color="000000" w:sz="4" w:space="0"/>
              <w:right w:val="single" w:color="000000" w:sz="4" w:space="0"/>
            </w:tcBorders>
            <w:shd w:val="clear" w:color="auto" w:fill="auto"/>
            <w:noWrap w:val="0"/>
            <w:vAlign w:val="center"/>
          </w:tcPr>
          <w:p>
            <w:pPr>
              <w:widowControl/>
              <w:jc w:val="left"/>
              <w:rPr>
                <w:rFonts w:ascii="宋体" w:hAnsi="宋体" w:cs="Arial"/>
                <w:color w:val="000000"/>
                <w:kern w:val="0"/>
                <w:sz w:val="18"/>
                <w:szCs w:val="18"/>
              </w:rPr>
            </w:pPr>
          </w:p>
        </w:tc>
        <w:tc>
          <w:tcPr>
            <w:tcW w:w="1179"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小计</w:t>
            </w:r>
          </w:p>
        </w:tc>
        <w:tc>
          <w:tcPr>
            <w:tcW w:w="930"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公务用车购置费</w:t>
            </w:r>
          </w:p>
        </w:tc>
        <w:tc>
          <w:tcPr>
            <w:tcW w:w="1035"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公务用车运行费</w:t>
            </w:r>
          </w:p>
        </w:tc>
        <w:tc>
          <w:tcPr>
            <w:tcW w:w="1014" w:type="dxa"/>
            <w:vMerge w:val="continue"/>
            <w:tcBorders>
              <w:top w:val="nil"/>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r>
      <w:tr>
        <w:tblPrEx>
          <w:tblCellMar>
            <w:top w:w="0" w:type="dxa"/>
            <w:left w:w="108" w:type="dxa"/>
            <w:bottom w:w="0" w:type="dxa"/>
            <w:right w:w="108" w:type="dxa"/>
          </w:tblCellMar>
        </w:tblPrEx>
        <w:trPr>
          <w:trHeight w:val="311" w:hRule="atLeast"/>
        </w:trPr>
        <w:tc>
          <w:tcPr>
            <w:tcW w:w="863" w:type="dxa"/>
            <w:tcBorders>
              <w:top w:val="nil"/>
              <w:left w:val="single" w:color="000000" w:sz="4" w:space="0"/>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1</w:t>
            </w:r>
          </w:p>
        </w:tc>
        <w:tc>
          <w:tcPr>
            <w:tcW w:w="1069"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2</w:t>
            </w:r>
          </w:p>
        </w:tc>
        <w:tc>
          <w:tcPr>
            <w:tcW w:w="791"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3</w:t>
            </w:r>
          </w:p>
        </w:tc>
        <w:tc>
          <w:tcPr>
            <w:tcW w:w="930"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4</w:t>
            </w:r>
          </w:p>
        </w:tc>
        <w:tc>
          <w:tcPr>
            <w:tcW w:w="788"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5</w:t>
            </w:r>
          </w:p>
        </w:tc>
        <w:tc>
          <w:tcPr>
            <w:tcW w:w="1108"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6</w:t>
            </w:r>
          </w:p>
        </w:tc>
        <w:tc>
          <w:tcPr>
            <w:tcW w:w="489"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7</w:t>
            </w:r>
          </w:p>
        </w:tc>
        <w:tc>
          <w:tcPr>
            <w:tcW w:w="984"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8</w:t>
            </w:r>
          </w:p>
        </w:tc>
        <w:tc>
          <w:tcPr>
            <w:tcW w:w="1179"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9</w:t>
            </w:r>
          </w:p>
        </w:tc>
        <w:tc>
          <w:tcPr>
            <w:tcW w:w="930"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10</w:t>
            </w:r>
          </w:p>
        </w:tc>
        <w:tc>
          <w:tcPr>
            <w:tcW w:w="1035"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11</w:t>
            </w:r>
          </w:p>
        </w:tc>
        <w:tc>
          <w:tcPr>
            <w:tcW w:w="1014" w:type="dxa"/>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12</w:t>
            </w:r>
          </w:p>
        </w:tc>
      </w:tr>
      <w:tr>
        <w:tblPrEx>
          <w:tblCellMar>
            <w:top w:w="0" w:type="dxa"/>
            <w:left w:w="108" w:type="dxa"/>
            <w:bottom w:w="0" w:type="dxa"/>
            <w:right w:w="108" w:type="dxa"/>
          </w:tblCellMar>
        </w:tblPrEx>
        <w:trPr>
          <w:trHeight w:val="612" w:hRule="atLeast"/>
        </w:trPr>
        <w:tc>
          <w:tcPr>
            <w:tcW w:w="863" w:type="dxa"/>
            <w:tcBorders>
              <w:top w:val="nil"/>
              <w:left w:val="single" w:color="000000" w:sz="4" w:space="0"/>
              <w:bottom w:val="single" w:color="000000" w:sz="4" w:space="0"/>
              <w:right w:val="single" w:color="000000" w:sz="4" w:space="0"/>
            </w:tcBorders>
            <w:noWrap/>
            <w:vAlign w:val="center"/>
          </w:tcPr>
          <w:p>
            <w:pPr>
              <w:widowControl/>
              <w:jc w:val="right"/>
              <w:rPr>
                <w:rFonts w:hint="default" w:ascii="宋体" w:hAnsi="宋体" w:eastAsia="宋体" w:cs="Arial"/>
                <w:color w:val="000000"/>
                <w:kern w:val="0"/>
                <w:sz w:val="18"/>
                <w:szCs w:val="18"/>
                <w:lang w:val="en-US" w:eastAsia="zh-CN"/>
              </w:rPr>
            </w:pPr>
            <w:r>
              <w:rPr>
                <w:rFonts w:hint="eastAsia" w:ascii="宋体" w:hAnsi="宋体" w:cs="Arial"/>
                <w:color w:val="000000"/>
                <w:kern w:val="0"/>
                <w:sz w:val="18"/>
                <w:szCs w:val="18"/>
                <w:lang w:val="en-US" w:eastAsia="zh-CN"/>
              </w:rPr>
              <w:t>50000.00</w:t>
            </w:r>
          </w:p>
        </w:tc>
        <w:tc>
          <w:tcPr>
            <w:tcW w:w="1069"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0.00</w:t>
            </w:r>
          </w:p>
        </w:tc>
        <w:tc>
          <w:tcPr>
            <w:tcW w:w="791"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lang w:val="en-US" w:eastAsia="zh-CN"/>
              </w:rPr>
              <w:t>0.00</w:t>
            </w:r>
          </w:p>
        </w:tc>
        <w:tc>
          <w:tcPr>
            <w:tcW w:w="930"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0.00</w:t>
            </w:r>
          </w:p>
        </w:tc>
        <w:tc>
          <w:tcPr>
            <w:tcW w:w="78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lang w:val="en-US" w:eastAsia="zh-CN"/>
              </w:rPr>
              <w:t>0.00</w:t>
            </w:r>
          </w:p>
        </w:tc>
        <w:tc>
          <w:tcPr>
            <w:tcW w:w="11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lang w:val="en-US" w:eastAsia="zh-CN"/>
              </w:rPr>
              <w:t>50000.00</w:t>
            </w:r>
          </w:p>
        </w:tc>
        <w:tc>
          <w:tcPr>
            <w:tcW w:w="489"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lang w:val="en-US" w:eastAsia="zh-CN"/>
              </w:rPr>
              <w:t>0.00</w:t>
            </w:r>
          </w:p>
        </w:tc>
        <w:tc>
          <w:tcPr>
            <w:tcW w:w="984"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0.00</w:t>
            </w:r>
          </w:p>
        </w:tc>
        <w:tc>
          <w:tcPr>
            <w:tcW w:w="1179"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lang w:val="en-US" w:eastAsia="zh-CN"/>
              </w:rPr>
              <w:t>0.00</w:t>
            </w:r>
          </w:p>
        </w:tc>
        <w:tc>
          <w:tcPr>
            <w:tcW w:w="930"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0.00</w:t>
            </w:r>
          </w:p>
        </w:tc>
        <w:tc>
          <w:tcPr>
            <w:tcW w:w="1035"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lang w:val="en-US" w:eastAsia="zh-CN"/>
              </w:rPr>
              <w:t>0.00</w:t>
            </w:r>
          </w:p>
        </w:tc>
        <w:tc>
          <w:tcPr>
            <w:tcW w:w="1014"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lang w:val="en-US" w:eastAsia="zh-CN"/>
              </w:rPr>
              <w:t>0.00</w:t>
            </w:r>
          </w:p>
        </w:tc>
      </w:tr>
      <w:tr>
        <w:tblPrEx>
          <w:tblCellMar>
            <w:top w:w="0" w:type="dxa"/>
            <w:left w:w="108" w:type="dxa"/>
            <w:bottom w:w="0" w:type="dxa"/>
            <w:right w:w="108" w:type="dxa"/>
          </w:tblCellMar>
        </w:tblPrEx>
        <w:trPr>
          <w:trHeight w:val="612" w:hRule="atLeast"/>
        </w:trPr>
        <w:tc>
          <w:tcPr>
            <w:tcW w:w="11180" w:type="dxa"/>
            <w:gridSpan w:val="12"/>
            <w:tcBorders>
              <w:top w:val="nil"/>
              <w:left w:val="nil"/>
              <w:bottom w:val="nil"/>
              <w:right w:val="nil"/>
            </w:tcBorders>
            <w:noWrap w:val="0"/>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注：本表反映部门本年度“三公”经费支出预决算情况。其中：预算数为“三公”经费年初预算数，决算数是包括当年一般公共预算财政拨款和以前年度结转资金安排的实际支出。</w:t>
            </w:r>
          </w:p>
        </w:tc>
      </w:tr>
    </w:tbl>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tbl>
      <w:tblPr>
        <w:tblStyle w:val="6"/>
        <w:tblW w:w="0" w:type="auto"/>
        <w:tblInd w:w="91" w:type="dxa"/>
        <w:tblLayout w:type="fixed"/>
        <w:tblCellMar>
          <w:top w:w="0" w:type="dxa"/>
          <w:left w:w="108" w:type="dxa"/>
          <w:bottom w:w="0" w:type="dxa"/>
          <w:right w:w="108" w:type="dxa"/>
        </w:tblCellMar>
      </w:tblPr>
      <w:tblGrid>
        <w:gridCol w:w="543"/>
        <w:gridCol w:w="543"/>
        <w:gridCol w:w="543"/>
        <w:gridCol w:w="1558"/>
        <w:gridCol w:w="1421"/>
        <w:gridCol w:w="908"/>
        <w:gridCol w:w="567"/>
        <w:gridCol w:w="908"/>
        <w:gridCol w:w="908"/>
        <w:gridCol w:w="1467"/>
      </w:tblGrid>
      <w:tr>
        <w:tblPrEx>
          <w:tblCellMar>
            <w:top w:w="0" w:type="dxa"/>
            <w:left w:w="108" w:type="dxa"/>
            <w:bottom w:w="0" w:type="dxa"/>
            <w:right w:w="108" w:type="dxa"/>
          </w:tblCellMar>
        </w:tblPrEx>
        <w:trPr>
          <w:trHeight w:val="390" w:hRule="atLeast"/>
        </w:trPr>
        <w:tc>
          <w:tcPr>
            <w:tcW w:w="9366" w:type="dxa"/>
            <w:gridSpan w:val="10"/>
            <w:tcBorders>
              <w:top w:val="nil"/>
              <w:left w:val="nil"/>
              <w:bottom w:val="nil"/>
              <w:right w:val="nil"/>
            </w:tcBorders>
            <w:noWrap/>
            <w:vAlign w:val="bottom"/>
          </w:tcPr>
          <w:p>
            <w:pPr>
              <w:widowControl/>
              <w:jc w:val="center"/>
              <w:rPr>
                <w:rFonts w:ascii="宋体" w:hAnsi="宋体" w:cs="Arial"/>
                <w:color w:val="000000"/>
                <w:kern w:val="0"/>
                <w:sz w:val="28"/>
                <w:szCs w:val="28"/>
              </w:rPr>
            </w:pPr>
            <w:r>
              <w:rPr>
                <w:rFonts w:hint="eastAsia" w:ascii="宋体" w:hAnsi="宋体" w:cs="Arial"/>
                <w:color w:val="000000"/>
                <w:kern w:val="0"/>
                <w:sz w:val="28"/>
                <w:szCs w:val="28"/>
              </w:rPr>
              <w:t>政府性基金预算财政拨款收入支出决算表</w:t>
            </w:r>
          </w:p>
        </w:tc>
      </w:tr>
      <w:tr>
        <w:tblPrEx>
          <w:tblCellMar>
            <w:top w:w="0" w:type="dxa"/>
            <w:left w:w="108" w:type="dxa"/>
            <w:bottom w:w="0" w:type="dxa"/>
            <w:right w:w="108" w:type="dxa"/>
          </w:tblCellMar>
        </w:tblPrEx>
        <w:trPr>
          <w:trHeight w:val="255" w:hRule="atLeast"/>
        </w:trPr>
        <w:tc>
          <w:tcPr>
            <w:tcW w:w="543"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543"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543"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1558"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1421"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908"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567"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908"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908"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1467" w:type="dxa"/>
            <w:tcBorders>
              <w:top w:val="nil"/>
              <w:left w:val="nil"/>
              <w:bottom w:val="nil"/>
              <w:right w:val="nil"/>
            </w:tcBorders>
            <w:noWrap/>
            <w:vAlign w:val="bottom"/>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公开08表</w:t>
            </w:r>
          </w:p>
        </w:tc>
      </w:tr>
      <w:tr>
        <w:tblPrEx>
          <w:tblCellMar>
            <w:top w:w="0" w:type="dxa"/>
            <w:left w:w="108" w:type="dxa"/>
            <w:bottom w:w="0" w:type="dxa"/>
            <w:right w:w="108" w:type="dxa"/>
          </w:tblCellMar>
        </w:tblPrEx>
        <w:trPr>
          <w:trHeight w:val="255" w:hRule="atLeast"/>
        </w:trPr>
        <w:tc>
          <w:tcPr>
            <w:tcW w:w="3187" w:type="dxa"/>
            <w:gridSpan w:val="4"/>
            <w:tcBorders>
              <w:top w:val="nil"/>
              <w:left w:val="nil"/>
              <w:bottom w:val="nil"/>
              <w:right w:val="nil"/>
            </w:tcBorders>
            <w:noWrap/>
            <w:vAlign w:val="bottom"/>
          </w:tcPr>
          <w:p>
            <w:pPr>
              <w:widowControl/>
              <w:jc w:val="left"/>
              <w:rPr>
                <w:rFonts w:hint="default" w:ascii="宋体" w:hAnsi="宋体" w:eastAsia="宋体" w:cs="Arial"/>
                <w:color w:val="000000"/>
                <w:kern w:val="0"/>
                <w:sz w:val="18"/>
                <w:szCs w:val="18"/>
                <w:lang w:val="en-US" w:eastAsia="zh-CN"/>
              </w:rPr>
            </w:pPr>
            <w:r>
              <w:rPr>
                <w:rFonts w:hint="eastAsia" w:ascii="宋体" w:hAnsi="宋体" w:cs="Arial"/>
                <w:color w:val="000000"/>
                <w:kern w:val="0"/>
                <w:sz w:val="18"/>
                <w:szCs w:val="18"/>
              </w:rPr>
              <w:t>部门：东安县</w:t>
            </w:r>
            <w:r>
              <w:rPr>
                <w:rFonts w:hint="eastAsia" w:ascii="宋体" w:hAnsi="宋体" w:cs="Arial"/>
                <w:color w:val="000000"/>
                <w:kern w:val="0"/>
                <w:sz w:val="18"/>
                <w:szCs w:val="18"/>
                <w:lang w:val="en-US" w:eastAsia="zh-CN"/>
              </w:rPr>
              <w:t>机关事务服务中心</w:t>
            </w:r>
          </w:p>
        </w:tc>
        <w:tc>
          <w:tcPr>
            <w:tcW w:w="1421"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908"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567"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908"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908" w:type="dxa"/>
            <w:tcBorders>
              <w:top w:val="nil"/>
              <w:left w:val="nil"/>
              <w:bottom w:val="nil"/>
              <w:right w:val="nil"/>
            </w:tcBorders>
            <w:noWrap/>
            <w:vAlign w:val="bottom"/>
          </w:tcPr>
          <w:p>
            <w:pPr>
              <w:widowControl/>
              <w:jc w:val="left"/>
              <w:rPr>
                <w:rFonts w:ascii="宋体" w:hAnsi="宋体" w:cs="Arial"/>
                <w:color w:val="000000"/>
                <w:kern w:val="0"/>
                <w:sz w:val="18"/>
                <w:szCs w:val="18"/>
              </w:rPr>
            </w:pPr>
          </w:p>
        </w:tc>
        <w:tc>
          <w:tcPr>
            <w:tcW w:w="1467" w:type="dxa"/>
            <w:tcBorders>
              <w:top w:val="nil"/>
              <w:left w:val="nil"/>
              <w:bottom w:val="nil"/>
              <w:right w:val="nil"/>
            </w:tcBorders>
            <w:noWrap/>
            <w:vAlign w:val="bottom"/>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金额单位：元</w:t>
            </w:r>
          </w:p>
        </w:tc>
      </w:tr>
      <w:tr>
        <w:tblPrEx>
          <w:tblCellMar>
            <w:top w:w="0" w:type="dxa"/>
            <w:left w:w="108" w:type="dxa"/>
            <w:bottom w:w="0" w:type="dxa"/>
            <w:right w:w="108" w:type="dxa"/>
          </w:tblCellMar>
        </w:tblPrEx>
        <w:trPr>
          <w:trHeight w:val="308" w:hRule="atLeast"/>
        </w:trPr>
        <w:tc>
          <w:tcPr>
            <w:tcW w:w="3187" w:type="dxa"/>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项目</w:t>
            </w:r>
          </w:p>
        </w:tc>
        <w:tc>
          <w:tcPr>
            <w:tcW w:w="1421" w:type="dxa"/>
            <w:vMerge w:val="restart"/>
            <w:tcBorders>
              <w:top w:val="single" w:color="000000" w:sz="4" w:space="0"/>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年初结转和结余</w:t>
            </w:r>
          </w:p>
        </w:tc>
        <w:tc>
          <w:tcPr>
            <w:tcW w:w="908" w:type="dxa"/>
            <w:vMerge w:val="restart"/>
            <w:tcBorders>
              <w:top w:val="single" w:color="000000" w:sz="4" w:space="0"/>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本年收入</w:t>
            </w:r>
          </w:p>
        </w:tc>
        <w:tc>
          <w:tcPr>
            <w:tcW w:w="2383" w:type="dxa"/>
            <w:gridSpan w:val="3"/>
            <w:tcBorders>
              <w:top w:val="single" w:color="000000" w:sz="4" w:space="0"/>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本年支出</w:t>
            </w:r>
          </w:p>
        </w:tc>
        <w:tc>
          <w:tcPr>
            <w:tcW w:w="1467" w:type="dxa"/>
            <w:vMerge w:val="restart"/>
            <w:tcBorders>
              <w:top w:val="single" w:color="000000" w:sz="4" w:space="0"/>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年末结转和结余</w:t>
            </w:r>
          </w:p>
        </w:tc>
      </w:tr>
      <w:tr>
        <w:tblPrEx>
          <w:tblCellMar>
            <w:top w:w="0" w:type="dxa"/>
            <w:left w:w="108" w:type="dxa"/>
            <w:bottom w:w="0" w:type="dxa"/>
            <w:right w:w="108" w:type="dxa"/>
          </w:tblCellMar>
        </w:tblPrEx>
        <w:trPr>
          <w:trHeight w:val="312" w:hRule="atLeast"/>
        </w:trPr>
        <w:tc>
          <w:tcPr>
            <w:tcW w:w="1629" w:type="dxa"/>
            <w:gridSpan w:val="3"/>
            <w:vMerge w:val="restart"/>
            <w:tcBorders>
              <w:top w:val="nil"/>
              <w:left w:val="single" w:color="000000" w:sz="4" w:space="0"/>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功能分类科目编码</w:t>
            </w:r>
          </w:p>
        </w:tc>
        <w:tc>
          <w:tcPr>
            <w:tcW w:w="1558" w:type="dxa"/>
            <w:vMerge w:val="restar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科目名称</w:t>
            </w:r>
          </w:p>
        </w:tc>
        <w:tc>
          <w:tcPr>
            <w:tcW w:w="1421" w:type="dxa"/>
            <w:vMerge w:val="continue"/>
            <w:tcBorders>
              <w:top w:val="single" w:color="000000" w:sz="4" w:space="0"/>
              <w:left w:val="nil"/>
              <w:bottom w:val="single" w:color="000000" w:sz="4" w:space="0"/>
              <w:right w:val="single" w:color="000000" w:sz="4" w:space="0"/>
            </w:tcBorders>
            <w:shd w:val="clear" w:color="auto" w:fill="auto"/>
            <w:noWrap w:val="0"/>
            <w:vAlign w:val="center"/>
          </w:tcPr>
          <w:p>
            <w:pPr>
              <w:widowControl/>
              <w:jc w:val="left"/>
              <w:rPr>
                <w:rFonts w:ascii="宋体" w:hAnsi="宋体" w:cs="Arial"/>
                <w:color w:val="000000"/>
                <w:kern w:val="0"/>
                <w:sz w:val="18"/>
                <w:szCs w:val="18"/>
              </w:rPr>
            </w:pPr>
          </w:p>
        </w:tc>
        <w:tc>
          <w:tcPr>
            <w:tcW w:w="908" w:type="dxa"/>
            <w:vMerge w:val="continue"/>
            <w:tcBorders>
              <w:top w:val="single" w:color="000000" w:sz="4" w:space="0"/>
              <w:left w:val="nil"/>
              <w:bottom w:val="single" w:color="000000" w:sz="4" w:space="0"/>
              <w:right w:val="single" w:color="000000" w:sz="4" w:space="0"/>
            </w:tcBorders>
            <w:shd w:val="clear" w:color="auto" w:fill="auto"/>
            <w:noWrap w:val="0"/>
            <w:vAlign w:val="center"/>
          </w:tcPr>
          <w:p>
            <w:pPr>
              <w:widowControl/>
              <w:jc w:val="left"/>
              <w:rPr>
                <w:rFonts w:ascii="宋体" w:hAnsi="宋体" w:cs="Arial"/>
                <w:color w:val="000000"/>
                <w:kern w:val="0"/>
                <w:sz w:val="18"/>
                <w:szCs w:val="18"/>
              </w:rPr>
            </w:pPr>
          </w:p>
        </w:tc>
        <w:tc>
          <w:tcPr>
            <w:tcW w:w="567" w:type="dxa"/>
            <w:vMerge w:val="restart"/>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小计</w:t>
            </w:r>
          </w:p>
        </w:tc>
        <w:tc>
          <w:tcPr>
            <w:tcW w:w="908" w:type="dxa"/>
            <w:vMerge w:val="restart"/>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基本支出</w:t>
            </w:r>
          </w:p>
        </w:tc>
        <w:tc>
          <w:tcPr>
            <w:tcW w:w="908" w:type="dxa"/>
            <w:vMerge w:val="restart"/>
            <w:tcBorders>
              <w:top w:val="nil"/>
              <w:left w:val="nil"/>
              <w:bottom w:val="single" w:color="000000" w:sz="4" w:space="0"/>
              <w:right w:val="single" w:color="000000" w:sz="4" w:space="0"/>
            </w:tcBorders>
            <w:shd w:val="clear" w:color="FFFFFF" w:fill="C0C0C0"/>
            <w:noWrap w:val="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项目支出</w:t>
            </w:r>
          </w:p>
        </w:tc>
        <w:tc>
          <w:tcPr>
            <w:tcW w:w="1467" w:type="dxa"/>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r>
      <w:tr>
        <w:tblPrEx>
          <w:tblCellMar>
            <w:top w:w="0" w:type="dxa"/>
            <w:left w:w="108" w:type="dxa"/>
            <w:bottom w:w="0" w:type="dxa"/>
            <w:right w:w="108" w:type="dxa"/>
          </w:tblCellMar>
        </w:tblPrEx>
        <w:trPr>
          <w:trHeight w:val="312" w:hRule="atLeast"/>
        </w:trPr>
        <w:tc>
          <w:tcPr>
            <w:tcW w:w="1629" w:type="dxa"/>
            <w:gridSpan w:val="3"/>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1558" w:type="dxa"/>
            <w:vMerge w:val="continue"/>
            <w:tcBorders>
              <w:top w:val="nil"/>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1421" w:type="dxa"/>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908" w:type="dxa"/>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567" w:type="dxa"/>
            <w:vMerge w:val="continue"/>
            <w:tcBorders>
              <w:top w:val="nil"/>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908" w:type="dxa"/>
            <w:vMerge w:val="continue"/>
            <w:tcBorders>
              <w:top w:val="nil"/>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908" w:type="dxa"/>
            <w:vMerge w:val="continue"/>
            <w:tcBorders>
              <w:top w:val="nil"/>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1467" w:type="dxa"/>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r>
      <w:tr>
        <w:tblPrEx>
          <w:tblCellMar>
            <w:top w:w="0" w:type="dxa"/>
            <w:left w:w="108" w:type="dxa"/>
            <w:bottom w:w="0" w:type="dxa"/>
            <w:right w:w="108" w:type="dxa"/>
          </w:tblCellMar>
        </w:tblPrEx>
        <w:trPr>
          <w:trHeight w:val="312" w:hRule="atLeast"/>
        </w:trPr>
        <w:tc>
          <w:tcPr>
            <w:tcW w:w="1629" w:type="dxa"/>
            <w:gridSpan w:val="3"/>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1558" w:type="dxa"/>
            <w:vMerge w:val="continue"/>
            <w:tcBorders>
              <w:top w:val="nil"/>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1421" w:type="dxa"/>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908" w:type="dxa"/>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567" w:type="dxa"/>
            <w:vMerge w:val="continue"/>
            <w:tcBorders>
              <w:top w:val="nil"/>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908" w:type="dxa"/>
            <w:vMerge w:val="continue"/>
            <w:tcBorders>
              <w:top w:val="nil"/>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908" w:type="dxa"/>
            <w:vMerge w:val="continue"/>
            <w:tcBorders>
              <w:top w:val="nil"/>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c>
          <w:tcPr>
            <w:tcW w:w="1467" w:type="dxa"/>
            <w:vMerge w:val="continue"/>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Arial"/>
                <w:color w:val="000000"/>
                <w:kern w:val="0"/>
                <w:sz w:val="18"/>
                <w:szCs w:val="18"/>
              </w:rPr>
            </w:pPr>
          </w:p>
        </w:tc>
      </w:tr>
      <w:tr>
        <w:tblPrEx>
          <w:tblCellMar>
            <w:top w:w="0" w:type="dxa"/>
            <w:left w:w="108" w:type="dxa"/>
            <w:bottom w:w="0" w:type="dxa"/>
            <w:right w:w="108" w:type="dxa"/>
          </w:tblCellMar>
        </w:tblPrEx>
        <w:trPr>
          <w:trHeight w:val="308" w:hRule="atLeast"/>
        </w:trPr>
        <w:tc>
          <w:tcPr>
            <w:tcW w:w="3187" w:type="dxa"/>
            <w:gridSpan w:val="4"/>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栏次</w:t>
            </w:r>
          </w:p>
        </w:tc>
        <w:tc>
          <w:tcPr>
            <w:tcW w:w="1421"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1</w:t>
            </w:r>
          </w:p>
        </w:tc>
        <w:tc>
          <w:tcPr>
            <w:tcW w:w="90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2</w:t>
            </w:r>
          </w:p>
        </w:tc>
        <w:tc>
          <w:tcPr>
            <w:tcW w:w="56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3</w:t>
            </w:r>
          </w:p>
        </w:tc>
        <w:tc>
          <w:tcPr>
            <w:tcW w:w="90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4</w:t>
            </w:r>
          </w:p>
        </w:tc>
        <w:tc>
          <w:tcPr>
            <w:tcW w:w="90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5</w:t>
            </w:r>
          </w:p>
        </w:tc>
        <w:tc>
          <w:tcPr>
            <w:tcW w:w="146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6</w:t>
            </w:r>
          </w:p>
        </w:tc>
      </w:tr>
      <w:tr>
        <w:tblPrEx>
          <w:tblCellMar>
            <w:top w:w="0" w:type="dxa"/>
            <w:left w:w="108" w:type="dxa"/>
            <w:bottom w:w="0" w:type="dxa"/>
            <w:right w:w="108" w:type="dxa"/>
          </w:tblCellMar>
        </w:tblPrEx>
        <w:trPr>
          <w:trHeight w:val="308" w:hRule="atLeast"/>
        </w:trPr>
        <w:tc>
          <w:tcPr>
            <w:tcW w:w="3187" w:type="dxa"/>
            <w:gridSpan w:val="4"/>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合计</w:t>
            </w:r>
          </w:p>
        </w:tc>
        <w:tc>
          <w:tcPr>
            <w:tcW w:w="1421" w:type="dxa"/>
            <w:tcBorders>
              <w:top w:val="nil"/>
              <w:left w:val="nil"/>
              <w:bottom w:val="single" w:color="000000" w:sz="4" w:space="0"/>
              <w:right w:val="single" w:color="000000" w:sz="4" w:space="0"/>
            </w:tcBorders>
            <w:noWrap/>
            <w:vAlign w:val="center"/>
          </w:tcPr>
          <w:p>
            <w:pPr>
              <w:widowControl/>
              <w:jc w:val="right"/>
              <w:rPr>
                <w:rFonts w:ascii="宋体" w:hAnsi="宋体" w:cs="Arial"/>
                <w:b/>
                <w:bCs/>
                <w:color w:val="000000"/>
                <w:kern w:val="0"/>
                <w:sz w:val="18"/>
                <w:szCs w:val="18"/>
              </w:rPr>
            </w:pPr>
            <w:r>
              <w:rPr>
                <w:rFonts w:hint="eastAsia" w:ascii="宋体" w:hAnsi="宋体" w:cs="Arial"/>
                <w:b/>
                <w:bCs/>
                <w:color w:val="000000"/>
                <w:kern w:val="0"/>
                <w:sz w:val="18"/>
                <w:szCs w:val="18"/>
              </w:rPr>
              <w:t>0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b/>
                <w:bCs/>
                <w:color w:val="000000"/>
                <w:kern w:val="0"/>
                <w:sz w:val="18"/>
                <w:szCs w:val="18"/>
              </w:rPr>
            </w:pPr>
            <w:r>
              <w:rPr>
                <w:rFonts w:hint="eastAsia" w:ascii="宋体" w:hAnsi="宋体" w:cs="Arial"/>
                <w:b/>
                <w:bCs/>
                <w:color w:val="000000"/>
                <w:kern w:val="0"/>
                <w:sz w:val="18"/>
                <w:szCs w:val="18"/>
              </w:rPr>
              <w:t>0　</w:t>
            </w:r>
          </w:p>
        </w:tc>
        <w:tc>
          <w:tcPr>
            <w:tcW w:w="567" w:type="dxa"/>
            <w:tcBorders>
              <w:top w:val="nil"/>
              <w:left w:val="nil"/>
              <w:bottom w:val="single" w:color="000000" w:sz="4" w:space="0"/>
              <w:right w:val="single" w:color="000000" w:sz="4" w:space="0"/>
            </w:tcBorders>
            <w:noWrap/>
            <w:vAlign w:val="center"/>
          </w:tcPr>
          <w:p>
            <w:pPr>
              <w:widowControl/>
              <w:jc w:val="right"/>
              <w:rPr>
                <w:rFonts w:ascii="宋体" w:hAnsi="宋体" w:cs="Arial"/>
                <w:b/>
                <w:bCs/>
                <w:color w:val="000000"/>
                <w:kern w:val="0"/>
                <w:sz w:val="18"/>
                <w:szCs w:val="18"/>
              </w:rPr>
            </w:pPr>
            <w:r>
              <w:rPr>
                <w:rFonts w:hint="eastAsia" w:ascii="宋体" w:hAnsi="宋体" w:cs="Arial"/>
                <w:b/>
                <w:bCs/>
                <w:color w:val="000000"/>
                <w:kern w:val="0"/>
                <w:sz w:val="18"/>
                <w:szCs w:val="18"/>
              </w:rPr>
              <w:t>0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b/>
                <w:bCs/>
                <w:color w:val="000000"/>
                <w:kern w:val="0"/>
                <w:sz w:val="18"/>
                <w:szCs w:val="18"/>
              </w:rPr>
            </w:pPr>
            <w:r>
              <w:rPr>
                <w:rFonts w:hint="eastAsia" w:ascii="宋体" w:hAnsi="宋体" w:cs="Arial"/>
                <w:b/>
                <w:bCs/>
                <w:color w:val="000000"/>
                <w:kern w:val="0"/>
                <w:sz w:val="18"/>
                <w:szCs w:val="18"/>
              </w:rPr>
              <w:t>0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b/>
                <w:bCs/>
                <w:color w:val="000000"/>
                <w:kern w:val="0"/>
                <w:sz w:val="18"/>
                <w:szCs w:val="18"/>
              </w:rPr>
            </w:pPr>
            <w:r>
              <w:rPr>
                <w:rFonts w:hint="eastAsia" w:ascii="宋体" w:hAnsi="宋体" w:cs="Arial"/>
                <w:b/>
                <w:bCs/>
                <w:color w:val="000000"/>
                <w:kern w:val="0"/>
                <w:sz w:val="18"/>
                <w:szCs w:val="18"/>
              </w:rPr>
              <w:t>0　</w:t>
            </w:r>
          </w:p>
        </w:tc>
        <w:tc>
          <w:tcPr>
            <w:tcW w:w="1467" w:type="dxa"/>
            <w:tcBorders>
              <w:top w:val="nil"/>
              <w:left w:val="nil"/>
              <w:bottom w:val="single" w:color="000000" w:sz="4" w:space="0"/>
              <w:right w:val="single" w:color="000000" w:sz="4" w:space="0"/>
            </w:tcBorders>
            <w:noWrap/>
            <w:vAlign w:val="center"/>
          </w:tcPr>
          <w:p>
            <w:pPr>
              <w:widowControl/>
              <w:jc w:val="right"/>
              <w:rPr>
                <w:rFonts w:ascii="宋体" w:hAnsi="宋体" w:cs="Arial"/>
                <w:b/>
                <w:bCs/>
                <w:color w:val="000000"/>
                <w:kern w:val="0"/>
                <w:sz w:val="18"/>
                <w:szCs w:val="18"/>
              </w:rPr>
            </w:pPr>
            <w:r>
              <w:rPr>
                <w:rFonts w:hint="eastAsia" w:ascii="宋体" w:hAnsi="宋体" w:cs="Arial"/>
                <w:b/>
                <w:bCs/>
                <w:color w:val="000000"/>
                <w:kern w:val="0"/>
                <w:sz w:val="18"/>
                <w:szCs w:val="18"/>
              </w:rPr>
              <w:t>0　</w:t>
            </w:r>
          </w:p>
        </w:tc>
      </w:tr>
      <w:tr>
        <w:tblPrEx>
          <w:tblCellMar>
            <w:top w:w="0" w:type="dxa"/>
            <w:left w:w="108" w:type="dxa"/>
            <w:bottom w:w="0" w:type="dxa"/>
            <w:right w:w="108" w:type="dxa"/>
          </w:tblCellMar>
        </w:tblPrEx>
        <w:trPr>
          <w:trHeight w:val="308" w:hRule="atLeast"/>
        </w:trPr>
        <w:tc>
          <w:tcPr>
            <w:tcW w:w="1629" w:type="dxa"/>
            <w:gridSpan w:val="3"/>
            <w:tcBorders>
              <w:top w:val="nil"/>
              <w:left w:val="single" w:color="000000" w:sz="4" w:space="0"/>
              <w:bottom w:val="single" w:color="000000" w:sz="4" w:space="0"/>
              <w:right w:val="single" w:color="000000" w:sz="4" w:space="0"/>
            </w:tcBorders>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558" w:type="dxa"/>
            <w:tcBorders>
              <w:top w:val="nil"/>
              <w:left w:val="nil"/>
              <w:bottom w:val="single" w:color="000000" w:sz="4" w:space="0"/>
              <w:right w:val="single" w:color="000000" w:sz="4" w:space="0"/>
            </w:tcBorders>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421"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567"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1467"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CellMar>
            <w:top w:w="0" w:type="dxa"/>
            <w:left w:w="108" w:type="dxa"/>
            <w:bottom w:w="0" w:type="dxa"/>
            <w:right w:w="108" w:type="dxa"/>
          </w:tblCellMar>
        </w:tblPrEx>
        <w:trPr>
          <w:trHeight w:val="308" w:hRule="atLeast"/>
        </w:trPr>
        <w:tc>
          <w:tcPr>
            <w:tcW w:w="1629" w:type="dxa"/>
            <w:gridSpan w:val="3"/>
            <w:tcBorders>
              <w:top w:val="nil"/>
              <w:left w:val="single" w:color="000000" w:sz="4" w:space="0"/>
              <w:bottom w:val="single" w:color="000000" w:sz="4" w:space="0"/>
              <w:right w:val="single" w:color="000000" w:sz="4" w:space="0"/>
            </w:tcBorders>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558" w:type="dxa"/>
            <w:tcBorders>
              <w:top w:val="nil"/>
              <w:left w:val="nil"/>
              <w:bottom w:val="single" w:color="000000" w:sz="4" w:space="0"/>
              <w:right w:val="single" w:color="000000" w:sz="4" w:space="0"/>
            </w:tcBorders>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421"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567"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1467"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CellMar>
            <w:top w:w="0" w:type="dxa"/>
            <w:left w:w="108" w:type="dxa"/>
            <w:bottom w:w="0" w:type="dxa"/>
            <w:right w:w="108" w:type="dxa"/>
          </w:tblCellMar>
        </w:tblPrEx>
        <w:trPr>
          <w:trHeight w:val="308" w:hRule="atLeast"/>
        </w:trPr>
        <w:tc>
          <w:tcPr>
            <w:tcW w:w="1629" w:type="dxa"/>
            <w:gridSpan w:val="3"/>
            <w:tcBorders>
              <w:top w:val="nil"/>
              <w:left w:val="single" w:color="000000" w:sz="4" w:space="0"/>
              <w:bottom w:val="single" w:color="000000" w:sz="4" w:space="0"/>
              <w:right w:val="single" w:color="000000" w:sz="4" w:space="0"/>
            </w:tcBorders>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558" w:type="dxa"/>
            <w:tcBorders>
              <w:top w:val="nil"/>
              <w:left w:val="nil"/>
              <w:bottom w:val="single" w:color="000000" w:sz="4" w:space="0"/>
              <w:right w:val="single" w:color="000000" w:sz="4" w:space="0"/>
            </w:tcBorders>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421"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567"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1467"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CellMar>
            <w:top w:w="0" w:type="dxa"/>
            <w:left w:w="108" w:type="dxa"/>
            <w:bottom w:w="0" w:type="dxa"/>
            <w:right w:w="108" w:type="dxa"/>
          </w:tblCellMar>
        </w:tblPrEx>
        <w:trPr>
          <w:trHeight w:val="308" w:hRule="atLeast"/>
        </w:trPr>
        <w:tc>
          <w:tcPr>
            <w:tcW w:w="1629" w:type="dxa"/>
            <w:gridSpan w:val="3"/>
            <w:tcBorders>
              <w:top w:val="nil"/>
              <w:left w:val="single" w:color="000000" w:sz="4" w:space="0"/>
              <w:bottom w:val="single" w:color="000000" w:sz="4" w:space="0"/>
              <w:right w:val="single" w:color="000000" w:sz="4" w:space="0"/>
            </w:tcBorders>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558" w:type="dxa"/>
            <w:tcBorders>
              <w:top w:val="nil"/>
              <w:left w:val="nil"/>
              <w:bottom w:val="single" w:color="000000" w:sz="4" w:space="0"/>
              <w:right w:val="single" w:color="000000" w:sz="4" w:space="0"/>
            </w:tcBorders>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421"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567"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1467"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CellMar>
            <w:top w:w="0" w:type="dxa"/>
            <w:left w:w="108" w:type="dxa"/>
            <w:bottom w:w="0" w:type="dxa"/>
            <w:right w:w="108" w:type="dxa"/>
          </w:tblCellMar>
        </w:tblPrEx>
        <w:trPr>
          <w:trHeight w:val="308" w:hRule="atLeast"/>
        </w:trPr>
        <w:tc>
          <w:tcPr>
            <w:tcW w:w="1629" w:type="dxa"/>
            <w:gridSpan w:val="3"/>
            <w:tcBorders>
              <w:top w:val="nil"/>
              <w:left w:val="single" w:color="000000" w:sz="4" w:space="0"/>
              <w:bottom w:val="single" w:color="000000" w:sz="4" w:space="0"/>
              <w:right w:val="single" w:color="000000" w:sz="4" w:space="0"/>
            </w:tcBorders>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558" w:type="dxa"/>
            <w:tcBorders>
              <w:top w:val="nil"/>
              <w:left w:val="nil"/>
              <w:bottom w:val="single" w:color="000000" w:sz="4" w:space="0"/>
              <w:right w:val="single" w:color="000000" w:sz="4" w:space="0"/>
            </w:tcBorders>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421"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567"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1467"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CellMar>
            <w:top w:w="0" w:type="dxa"/>
            <w:left w:w="108" w:type="dxa"/>
            <w:bottom w:w="0" w:type="dxa"/>
            <w:right w:w="108" w:type="dxa"/>
          </w:tblCellMar>
        </w:tblPrEx>
        <w:trPr>
          <w:trHeight w:val="308" w:hRule="atLeast"/>
        </w:trPr>
        <w:tc>
          <w:tcPr>
            <w:tcW w:w="1629" w:type="dxa"/>
            <w:gridSpan w:val="3"/>
            <w:tcBorders>
              <w:top w:val="nil"/>
              <w:left w:val="single" w:color="000000" w:sz="4" w:space="0"/>
              <w:bottom w:val="single" w:color="000000" w:sz="4" w:space="0"/>
              <w:right w:val="single" w:color="000000" w:sz="4" w:space="0"/>
            </w:tcBorders>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558" w:type="dxa"/>
            <w:tcBorders>
              <w:top w:val="nil"/>
              <w:left w:val="nil"/>
              <w:bottom w:val="single" w:color="000000" w:sz="4" w:space="0"/>
              <w:right w:val="single" w:color="000000" w:sz="4" w:space="0"/>
            </w:tcBorders>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421"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567"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08"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1467" w:type="dxa"/>
            <w:tcBorders>
              <w:top w:val="nil"/>
              <w:left w:val="nil"/>
              <w:bottom w:val="single" w:color="000000" w:sz="4" w:space="0"/>
              <w:right w:val="single" w:color="000000" w:sz="4" w:space="0"/>
            </w:tcBorders>
            <w:noWrap/>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CellMar>
            <w:top w:w="0" w:type="dxa"/>
            <w:left w:w="108" w:type="dxa"/>
            <w:bottom w:w="0" w:type="dxa"/>
            <w:right w:w="108" w:type="dxa"/>
          </w:tblCellMar>
        </w:tblPrEx>
        <w:trPr>
          <w:trHeight w:val="308" w:hRule="atLeast"/>
        </w:trPr>
        <w:tc>
          <w:tcPr>
            <w:tcW w:w="9366" w:type="dxa"/>
            <w:gridSpan w:val="10"/>
            <w:tcBorders>
              <w:top w:val="nil"/>
              <w:left w:val="nil"/>
              <w:bottom w:val="nil"/>
              <w:right w:val="nil"/>
            </w:tcBorders>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注：本表反映部门本年度政府性基金预算财政拨款收入、支出及结转和结余情况。</w:t>
            </w:r>
          </w:p>
        </w:tc>
      </w:tr>
    </w:tbl>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hint="eastAsia" w:ascii="仿宋_GB2312" w:hAnsi="宋体" w:eastAsia="仿宋_GB2312" w:cs="黑体"/>
          <w:b/>
          <w:color w:val="000000"/>
          <w:kern w:val="0"/>
          <w:sz w:val="30"/>
          <w:szCs w:val="30"/>
        </w:rPr>
      </w:pPr>
    </w:p>
    <w:p>
      <w:pPr>
        <w:widowControl/>
        <w:spacing w:line="720" w:lineRule="exact"/>
        <w:jc w:val="left"/>
        <w:rPr>
          <w:rFonts w:ascii="仿宋_GB2312" w:hAnsi="宋体" w:eastAsia="仿宋_GB2312" w:cs="黑体"/>
          <w:b/>
          <w:color w:val="000000"/>
          <w:kern w:val="0"/>
          <w:sz w:val="30"/>
          <w:szCs w:val="30"/>
        </w:rPr>
      </w:pPr>
    </w:p>
    <w:p>
      <w:pPr>
        <w:widowControl/>
        <w:spacing w:line="720" w:lineRule="exact"/>
        <w:jc w:val="left"/>
        <w:rPr>
          <w:rFonts w:ascii="仿宋_GB2312" w:hAnsi="宋体" w:eastAsia="仿宋_GB2312" w:cs="黑体"/>
          <w:b/>
          <w:color w:val="000000"/>
          <w:kern w:val="0"/>
          <w:sz w:val="30"/>
          <w:szCs w:val="30"/>
        </w:rPr>
      </w:pPr>
    </w:p>
    <w:p>
      <w:pPr>
        <w:widowControl/>
        <w:spacing w:line="720" w:lineRule="exact"/>
        <w:jc w:val="left"/>
        <w:rPr>
          <w:rFonts w:ascii="仿宋_GB2312" w:hAnsi="宋体" w:eastAsia="仿宋_GB2312" w:cs="黑体"/>
          <w:b/>
          <w:color w:val="000000"/>
          <w:kern w:val="0"/>
          <w:sz w:val="30"/>
          <w:szCs w:val="30"/>
        </w:rPr>
      </w:pPr>
    </w:p>
    <w:p>
      <w:pPr>
        <w:widowControl/>
        <w:spacing w:line="720" w:lineRule="exact"/>
        <w:jc w:val="left"/>
        <w:rPr>
          <w:rFonts w:ascii="仿宋_GB2312" w:hAnsi="宋体" w:eastAsia="仿宋_GB2312" w:cs="黑体"/>
          <w:b/>
          <w:color w:val="000000"/>
          <w:kern w:val="0"/>
          <w:sz w:val="30"/>
          <w:szCs w:val="30"/>
        </w:rPr>
      </w:pPr>
    </w:p>
    <w:p>
      <w:pPr>
        <w:widowControl/>
        <w:spacing w:line="720" w:lineRule="exact"/>
        <w:jc w:val="left"/>
        <w:rPr>
          <w:rFonts w:ascii="仿宋_GB2312" w:hAnsi="宋体" w:eastAsia="仿宋_GB2312" w:cs="黑体"/>
          <w:b/>
          <w:color w:val="000000"/>
          <w:kern w:val="0"/>
          <w:sz w:val="30"/>
          <w:szCs w:val="30"/>
        </w:rPr>
      </w:pPr>
    </w:p>
    <w:p>
      <w:pPr>
        <w:widowControl/>
        <w:spacing w:line="720" w:lineRule="exact"/>
        <w:ind w:firstLine="602" w:firstLineChars="200"/>
        <w:jc w:val="left"/>
        <w:rPr>
          <w:rFonts w:ascii="仿宋_GB2312" w:hAnsi="宋体" w:eastAsia="仿宋_GB2312" w:cs="黑体"/>
          <w:b/>
          <w:color w:val="000000"/>
          <w:kern w:val="0"/>
          <w:sz w:val="30"/>
          <w:szCs w:val="30"/>
        </w:rPr>
      </w:pPr>
    </w:p>
    <w:p>
      <w:pPr>
        <w:widowControl/>
        <w:spacing w:line="1400" w:lineRule="exact"/>
        <w:ind w:firstLine="643" w:firstLineChars="200"/>
        <w:jc w:val="left"/>
        <w:rPr>
          <w:rFonts w:ascii="仿宋_GB2312" w:hAnsi="宋体" w:eastAsia="仿宋_GB2312" w:cs="黑体"/>
          <w:b/>
          <w:color w:val="000000"/>
          <w:kern w:val="0"/>
          <w:sz w:val="32"/>
          <w:szCs w:val="32"/>
        </w:rPr>
      </w:pPr>
    </w:p>
    <w:p>
      <w:pPr>
        <w:widowControl/>
        <w:spacing w:line="1400" w:lineRule="exact"/>
        <w:jc w:val="center"/>
        <w:rPr>
          <w:rFonts w:ascii="黑体" w:hAnsi="黑体" w:eastAsia="黑体"/>
          <w:b/>
          <w:sz w:val="84"/>
          <w:szCs w:val="84"/>
        </w:rPr>
      </w:pPr>
      <w:r>
        <w:rPr>
          <w:rFonts w:hint="eastAsia" w:ascii="黑体" w:hAnsi="黑体" w:eastAsia="黑体"/>
          <w:b/>
          <w:sz w:val="84"/>
          <w:szCs w:val="84"/>
        </w:rPr>
        <w:t>第三部分</w:t>
      </w:r>
    </w:p>
    <w:p>
      <w:pPr>
        <w:widowControl/>
        <w:spacing w:line="1400" w:lineRule="exact"/>
        <w:jc w:val="center"/>
        <w:rPr>
          <w:rFonts w:ascii="黑体" w:hAnsi="黑体" w:eastAsia="黑体"/>
          <w:b/>
          <w:sz w:val="84"/>
          <w:szCs w:val="84"/>
        </w:rPr>
      </w:pPr>
      <w:r>
        <w:rPr>
          <w:rFonts w:hint="eastAsia" w:ascii="黑体" w:hAnsi="黑体" w:eastAsia="黑体"/>
          <w:b/>
          <w:sz w:val="84"/>
          <w:szCs w:val="84"/>
        </w:rPr>
        <w:t>2018 年度部门决算情况说明</w:t>
      </w:r>
    </w:p>
    <w:p>
      <w:pPr>
        <w:widowControl/>
        <w:ind w:firstLine="643" w:firstLineChars="200"/>
        <w:jc w:val="left"/>
        <w:rPr>
          <w:rFonts w:ascii="仿宋_GB2312" w:eastAsia="仿宋_GB2312"/>
          <w:b/>
        </w:rPr>
      </w:pPr>
      <w:r>
        <w:rPr>
          <w:rFonts w:hint="eastAsia" w:ascii="黑体" w:hAnsi="黑体" w:eastAsia="黑体" w:cs="黑体"/>
          <w:b/>
          <w:color w:val="000000"/>
          <w:kern w:val="0"/>
          <w:sz w:val="32"/>
          <w:szCs w:val="32"/>
        </w:rPr>
        <w:br w:type="page"/>
      </w:r>
    </w:p>
    <w:p>
      <w:pPr>
        <w:snapToGrid w:val="0"/>
        <w:spacing w:line="460" w:lineRule="exact"/>
        <w:ind w:firstLine="640" w:firstLineChars="200"/>
        <w:rPr>
          <w:rFonts w:ascii="黑体" w:hAnsi="黑体" w:eastAsia="黑体"/>
          <w:sz w:val="32"/>
          <w:szCs w:val="32"/>
        </w:rPr>
      </w:pPr>
      <w:r>
        <w:rPr>
          <w:rFonts w:hint="eastAsia" w:ascii="黑体" w:hAnsi="黑体" w:eastAsia="黑体"/>
          <w:sz w:val="32"/>
          <w:szCs w:val="32"/>
        </w:rPr>
        <w:t>一、收入支出决算总体情况说明</w:t>
      </w:r>
    </w:p>
    <w:p>
      <w:pPr>
        <w:spacing w:line="50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2018年度收入总计</w:t>
      </w:r>
      <w:r>
        <w:rPr>
          <w:rFonts w:ascii="仿宋_GB2312" w:hAnsi="仿宋" w:eastAsia="仿宋_GB2312"/>
          <w:sz w:val="32"/>
          <w:szCs w:val="32"/>
        </w:rPr>
        <w:t>273</w:t>
      </w:r>
      <w:r>
        <w:rPr>
          <w:rFonts w:hint="eastAsia" w:ascii="仿宋_GB2312" w:hAnsi="仿宋" w:eastAsia="仿宋_GB2312"/>
          <w:sz w:val="32"/>
          <w:szCs w:val="32"/>
        </w:rPr>
        <w:t>万元。与上年相比增加73万元，增长36.5%。支出总计273万元，与上年相比增加73万元，增长36.5%。收入支出略有增加，主要是因为车改后其他交通补助费和工会经费等费用支出增加。</w:t>
      </w:r>
    </w:p>
    <w:p>
      <w:pPr>
        <w:snapToGrid w:val="0"/>
        <w:spacing w:line="460" w:lineRule="exact"/>
        <w:ind w:firstLine="640" w:firstLineChars="200"/>
        <w:rPr>
          <w:rFonts w:ascii="黑体" w:hAnsi="黑体" w:eastAsia="黑体"/>
          <w:sz w:val="32"/>
          <w:szCs w:val="32"/>
        </w:rPr>
      </w:pPr>
      <w:r>
        <w:rPr>
          <w:rFonts w:hint="eastAsia" w:ascii="黑体" w:hAnsi="黑体" w:eastAsia="黑体"/>
          <w:sz w:val="32"/>
          <w:szCs w:val="32"/>
        </w:rPr>
        <w:t>二、收入决算情况说明</w:t>
      </w:r>
    </w:p>
    <w:p>
      <w:pPr>
        <w:spacing w:line="500" w:lineRule="exact"/>
        <w:ind w:firstLine="640" w:firstLineChars="200"/>
        <w:rPr>
          <w:rFonts w:ascii="仿宋_GB2312" w:hAnsi="仿宋" w:eastAsia="仿宋_GB2312"/>
          <w:sz w:val="32"/>
          <w:szCs w:val="32"/>
        </w:rPr>
      </w:pPr>
      <w:r>
        <w:rPr>
          <w:rFonts w:hint="eastAsia" w:ascii="仿宋_GB2312" w:hAnsi="仿宋" w:eastAsia="仿宋_GB2312"/>
          <w:sz w:val="32"/>
          <w:szCs w:val="32"/>
        </w:rPr>
        <w:t>本年收入合计273万元，其中财政拨款收入273万元，占100%。2018</w:t>
      </w:r>
      <w:r>
        <w:rPr>
          <w:rFonts w:hint="eastAsia" w:ascii="仿宋" w:hAnsi="仿宋" w:eastAsia="仿宋" w:cs="仿宋"/>
          <w:sz w:val="32"/>
          <w:szCs w:val="32"/>
        </w:rPr>
        <w:t>年预算收入为276.1136万元，完成年初预算的98.88%，主要是</w:t>
      </w:r>
      <w:r>
        <w:rPr>
          <w:rFonts w:hint="eastAsia" w:ascii="仿宋_GB2312" w:hAnsi="仿宋" w:eastAsia="仿宋_GB2312"/>
          <w:sz w:val="32"/>
          <w:szCs w:val="32"/>
        </w:rPr>
        <w:t>厉行节约，压缩一般性行政经费</w:t>
      </w:r>
      <w:r>
        <w:rPr>
          <w:rFonts w:hint="eastAsia" w:ascii="仿宋" w:hAnsi="仿宋" w:eastAsia="仿宋" w:cs="仿宋"/>
          <w:sz w:val="32"/>
          <w:szCs w:val="32"/>
        </w:rPr>
        <w:t>。</w:t>
      </w:r>
    </w:p>
    <w:p>
      <w:pPr>
        <w:snapToGrid w:val="0"/>
        <w:spacing w:line="460" w:lineRule="exact"/>
        <w:ind w:firstLine="640" w:firstLineChars="200"/>
        <w:rPr>
          <w:rFonts w:ascii="黑体" w:hAnsi="黑体" w:eastAsia="黑体"/>
          <w:sz w:val="32"/>
          <w:szCs w:val="32"/>
        </w:rPr>
      </w:pPr>
      <w:r>
        <w:rPr>
          <w:rFonts w:hint="eastAsia" w:ascii="黑体" w:hAnsi="黑体" w:eastAsia="黑体"/>
          <w:sz w:val="32"/>
          <w:szCs w:val="32"/>
        </w:rPr>
        <w:t>三、支出决算情况说明</w:t>
      </w:r>
    </w:p>
    <w:p>
      <w:pPr>
        <w:spacing w:line="500" w:lineRule="exact"/>
        <w:ind w:left="160" w:leftChars="76" w:firstLine="496" w:firstLineChars="155"/>
        <w:rPr>
          <w:rFonts w:ascii="仿宋_GB2312" w:hAnsi="仿宋" w:eastAsia="仿宋_GB2312"/>
          <w:sz w:val="32"/>
          <w:szCs w:val="32"/>
        </w:rPr>
      </w:pPr>
      <w:r>
        <w:rPr>
          <w:rFonts w:hint="eastAsia" w:ascii="仿宋_GB2312" w:hAnsi="仿宋" w:eastAsia="仿宋_GB2312"/>
          <w:sz w:val="32"/>
          <w:szCs w:val="32"/>
        </w:rPr>
        <w:t>本年支出合计273万元，其中：基本支出175.9万元，占64.4%项目支出97.1万元，占35.6%。2018</w:t>
      </w:r>
      <w:r>
        <w:rPr>
          <w:rFonts w:hint="eastAsia" w:ascii="仿宋" w:hAnsi="仿宋" w:eastAsia="仿宋" w:cs="仿宋"/>
          <w:sz w:val="32"/>
          <w:szCs w:val="32"/>
        </w:rPr>
        <w:t>年预算支出为276.1136万元，完成年初预算的98.88%，主要是</w:t>
      </w:r>
      <w:r>
        <w:rPr>
          <w:rFonts w:hint="eastAsia" w:ascii="仿宋_GB2312" w:hAnsi="仿宋" w:eastAsia="仿宋_GB2312"/>
          <w:sz w:val="32"/>
          <w:szCs w:val="32"/>
        </w:rPr>
        <w:t>厉行节约，压缩一般性行政经费</w:t>
      </w:r>
      <w:r>
        <w:rPr>
          <w:rFonts w:hint="eastAsia" w:ascii="仿宋" w:hAnsi="仿宋" w:eastAsia="仿宋" w:cs="仿宋"/>
          <w:sz w:val="32"/>
          <w:szCs w:val="32"/>
        </w:rPr>
        <w:t>。</w:t>
      </w:r>
    </w:p>
    <w:p>
      <w:pPr>
        <w:snapToGrid w:val="0"/>
        <w:spacing w:line="460" w:lineRule="exact"/>
        <w:ind w:firstLine="640" w:firstLineChars="200"/>
        <w:rPr>
          <w:rFonts w:ascii="黑体" w:hAnsi="黑体" w:eastAsia="黑体"/>
          <w:sz w:val="32"/>
          <w:szCs w:val="32"/>
        </w:rPr>
      </w:pPr>
      <w:r>
        <w:rPr>
          <w:rFonts w:hint="eastAsia" w:ascii="黑体" w:hAnsi="黑体" w:eastAsia="黑体"/>
          <w:sz w:val="32"/>
          <w:szCs w:val="32"/>
        </w:rPr>
        <w:t>四、财政拨款收入支出决算总体情况说明</w:t>
      </w:r>
    </w:p>
    <w:p>
      <w:pPr>
        <w:snapToGrid w:val="0"/>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2018年度财政拨款收入总计273万元，与2017年相比，增加73万元，增长36.5%。2018年度财政拨款支出总计273万元，</w:t>
      </w:r>
      <w:r>
        <w:rPr>
          <w:rFonts w:hint="eastAsia" w:ascii="仿宋_GB2312" w:hAnsi="仿宋" w:eastAsia="仿宋_GB2312"/>
          <w:sz w:val="32"/>
          <w:szCs w:val="32"/>
        </w:rPr>
        <w:t>与2017年相比，增加73万元，增长36.5%。</w:t>
      </w:r>
      <w:r>
        <w:rPr>
          <w:rFonts w:hint="eastAsia" w:ascii="仿宋" w:hAnsi="仿宋" w:eastAsia="仿宋" w:cs="仿宋"/>
          <w:sz w:val="32"/>
          <w:szCs w:val="32"/>
        </w:rPr>
        <w:t>财政拨款增长主要由于机关事务服务中心新增其他交通补助费和工会经费等费用支出。</w:t>
      </w:r>
    </w:p>
    <w:p>
      <w:pPr>
        <w:spacing w:line="500" w:lineRule="exact"/>
        <w:rPr>
          <w:rFonts w:ascii="黑体" w:hAnsi="黑体" w:eastAsia="黑体"/>
          <w:sz w:val="32"/>
          <w:szCs w:val="32"/>
        </w:rPr>
      </w:pPr>
      <w:r>
        <w:rPr>
          <w:rFonts w:hint="eastAsia" w:ascii="仿宋" w:hAnsi="仿宋" w:eastAsia="仿宋" w:cs="仿宋"/>
          <w:sz w:val="32"/>
          <w:szCs w:val="32"/>
        </w:rPr>
        <w:t>　</w:t>
      </w:r>
      <w:r>
        <w:rPr>
          <w:rFonts w:hint="eastAsia" w:ascii="黑体" w:hAnsi="黑体" w:eastAsia="黑体"/>
          <w:sz w:val="32"/>
          <w:szCs w:val="32"/>
        </w:rPr>
        <w:t>　五、一般公共预算财政拨款支出决算情况说明</w:t>
      </w:r>
    </w:p>
    <w:p>
      <w:pPr>
        <w:spacing w:line="500" w:lineRule="exact"/>
        <w:rPr>
          <w:rFonts w:ascii="仿宋" w:hAnsi="仿宋" w:eastAsia="仿宋" w:cs="仿宋"/>
          <w:b/>
          <w:sz w:val="32"/>
          <w:szCs w:val="32"/>
        </w:rPr>
      </w:pPr>
      <w:r>
        <w:rPr>
          <w:rFonts w:hint="eastAsia" w:ascii="仿宋" w:hAnsi="仿宋" w:eastAsia="仿宋" w:cs="仿宋"/>
          <w:sz w:val="32"/>
          <w:szCs w:val="32"/>
        </w:rPr>
        <w:t>　　</w:t>
      </w:r>
      <w:r>
        <w:rPr>
          <w:rFonts w:hint="eastAsia" w:ascii="仿宋" w:hAnsi="仿宋" w:eastAsia="仿宋" w:cs="仿宋"/>
          <w:b/>
          <w:sz w:val="32"/>
          <w:szCs w:val="32"/>
        </w:rPr>
        <w:t>（一）财政拨款支出决算总体情况</w:t>
      </w:r>
    </w:p>
    <w:p>
      <w:pPr>
        <w:spacing w:line="500" w:lineRule="exact"/>
        <w:rPr>
          <w:rFonts w:ascii="仿宋" w:hAnsi="仿宋" w:eastAsia="仿宋" w:cs="仿宋"/>
          <w:sz w:val="32"/>
          <w:szCs w:val="32"/>
        </w:rPr>
      </w:pPr>
      <w:r>
        <w:rPr>
          <w:rFonts w:hint="eastAsia" w:ascii="仿宋" w:hAnsi="仿宋" w:eastAsia="仿宋" w:cs="仿宋"/>
          <w:sz w:val="32"/>
          <w:szCs w:val="32"/>
        </w:rPr>
        <w:t>　　2018年度财政拨款支出273万元，占本年支出合计的100%，与2017年相比，财政拨款支出增加73万元，增长36.5%。</w:t>
      </w:r>
    </w:p>
    <w:p>
      <w:pPr>
        <w:spacing w:line="500" w:lineRule="exact"/>
        <w:rPr>
          <w:rFonts w:ascii="仿宋" w:hAnsi="仿宋" w:eastAsia="仿宋" w:cs="仿宋"/>
          <w:b/>
          <w:sz w:val="32"/>
          <w:szCs w:val="32"/>
        </w:rPr>
      </w:pPr>
      <w:r>
        <w:rPr>
          <w:rFonts w:hint="eastAsia" w:ascii="仿宋" w:hAnsi="仿宋" w:eastAsia="仿宋" w:cs="仿宋"/>
          <w:sz w:val="32"/>
          <w:szCs w:val="32"/>
        </w:rPr>
        <w:t>　　</w:t>
      </w:r>
      <w:r>
        <w:rPr>
          <w:rFonts w:hint="eastAsia" w:ascii="仿宋" w:hAnsi="仿宋" w:eastAsia="仿宋" w:cs="仿宋"/>
          <w:b/>
          <w:sz w:val="32"/>
          <w:szCs w:val="32"/>
        </w:rPr>
        <w:t>（二）财政拨款支出决算结构情况</w:t>
      </w:r>
    </w:p>
    <w:p>
      <w:pPr>
        <w:spacing w:line="500" w:lineRule="exact"/>
        <w:rPr>
          <w:rFonts w:ascii="仿宋" w:hAnsi="仿宋" w:eastAsia="仿宋" w:cs="仿宋"/>
          <w:sz w:val="32"/>
          <w:szCs w:val="32"/>
        </w:rPr>
      </w:pPr>
      <w:r>
        <w:rPr>
          <w:rFonts w:hint="eastAsia" w:ascii="仿宋" w:hAnsi="仿宋" w:eastAsia="仿宋" w:cs="仿宋"/>
          <w:sz w:val="32"/>
          <w:szCs w:val="32"/>
        </w:rPr>
        <w:t>　　2018年度财政拨款支出273万元，主要用于以下方面：</w:t>
      </w:r>
    </w:p>
    <w:p>
      <w:pPr>
        <w:spacing w:line="500" w:lineRule="exact"/>
        <w:rPr>
          <w:rFonts w:ascii="仿宋" w:hAnsi="仿宋" w:eastAsia="仿宋" w:cs="仿宋"/>
          <w:sz w:val="32"/>
          <w:szCs w:val="32"/>
        </w:rPr>
      </w:pPr>
      <w:r>
        <w:rPr>
          <w:rFonts w:hint="eastAsia" w:ascii="仿宋" w:hAnsi="仿宋" w:eastAsia="仿宋" w:cs="仿宋"/>
          <w:sz w:val="32"/>
          <w:szCs w:val="32"/>
        </w:rPr>
        <w:t>　　１、一般公共服务支出175.9万元，占64.4%，项目支出（四大家运转经费支出）79.1万元，占35.6%。</w:t>
      </w:r>
    </w:p>
    <w:p>
      <w:pPr>
        <w:spacing w:line="500" w:lineRule="exact"/>
        <w:rPr>
          <w:rFonts w:ascii="仿宋" w:hAnsi="仿宋" w:eastAsia="仿宋" w:cs="仿宋"/>
          <w:sz w:val="32"/>
          <w:szCs w:val="32"/>
        </w:rPr>
      </w:pPr>
      <w:r>
        <w:rPr>
          <w:rFonts w:hint="eastAsia" w:ascii="仿宋" w:hAnsi="仿宋" w:eastAsia="仿宋" w:cs="仿宋"/>
          <w:sz w:val="32"/>
          <w:szCs w:val="32"/>
        </w:rPr>
        <w:t>　　２、按功能分类的其他类支出无。</w:t>
      </w:r>
    </w:p>
    <w:p>
      <w:pPr>
        <w:snapToGrid w:val="0"/>
        <w:spacing w:line="460" w:lineRule="exact"/>
        <w:rPr>
          <w:rFonts w:ascii="黑体" w:hAnsi="黑体" w:eastAsia="黑体"/>
          <w:sz w:val="32"/>
          <w:szCs w:val="32"/>
        </w:rPr>
      </w:pPr>
      <w:r>
        <w:rPr>
          <w:rFonts w:hint="eastAsia" w:ascii="黑体" w:hAnsi="黑体" w:eastAsia="黑体"/>
          <w:sz w:val="32"/>
          <w:szCs w:val="32"/>
        </w:rPr>
        <w:t>　　（三）财政拨款支出决算具体情况</w:t>
      </w:r>
    </w:p>
    <w:p>
      <w:pPr>
        <w:snapToGrid w:val="0"/>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2018年度财政拨款支出年初预算数为</w:t>
      </w:r>
      <w:r>
        <w:rPr>
          <w:rFonts w:ascii="仿宋" w:hAnsi="仿宋" w:eastAsia="仿宋" w:cs="仿宋"/>
          <w:sz w:val="32"/>
          <w:szCs w:val="32"/>
        </w:rPr>
        <w:t>276</w:t>
      </w:r>
      <w:r>
        <w:rPr>
          <w:rFonts w:hint="eastAsia" w:ascii="仿宋" w:hAnsi="仿宋" w:eastAsia="仿宋" w:cs="仿宋"/>
          <w:sz w:val="32"/>
          <w:szCs w:val="32"/>
        </w:rPr>
        <w:t>.</w:t>
      </w:r>
      <w:r>
        <w:rPr>
          <w:rFonts w:ascii="仿宋" w:hAnsi="仿宋" w:eastAsia="仿宋" w:cs="仿宋"/>
          <w:sz w:val="32"/>
          <w:szCs w:val="32"/>
        </w:rPr>
        <w:t>11</w:t>
      </w:r>
      <w:r>
        <w:rPr>
          <w:rFonts w:hint="eastAsia" w:ascii="仿宋" w:hAnsi="仿宋" w:eastAsia="仿宋" w:cs="仿宋"/>
          <w:sz w:val="32"/>
          <w:szCs w:val="32"/>
        </w:rPr>
        <w:t>万元，支出决算数为273万元，完成年初预算的101%，与年初预算安排的差额主要是上年结余结转和年中追加预算安排的支出。其中：</w:t>
      </w:r>
    </w:p>
    <w:p>
      <w:pPr>
        <w:snapToGrid w:val="0"/>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１、一般公共服务（类）党委办公厅（室）及相关机构事务（款）行政运行（项），年初预算数为172.79万元，支出决算数为175.9万元，完成年初预算的101%。</w:t>
      </w:r>
    </w:p>
    <w:p>
      <w:pPr>
        <w:snapToGrid w:val="0"/>
        <w:spacing w:line="460" w:lineRule="exact"/>
        <w:ind w:firstLine="640" w:firstLineChars="200"/>
        <w:rPr>
          <w:rFonts w:ascii="仿宋" w:hAnsi="仿宋" w:eastAsia="仿宋" w:cs="仿宋"/>
          <w:sz w:val="32"/>
          <w:szCs w:val="32"/>
        </w:rPr>
      </w:pPr>
      <w:r>
        <w:rPr>
          <w:rFonts w:hint="eastAsia" w:ascii="仿宋" w:hAnsi="仿宋" w:eastAsia="仿宋" w:cs="仿宋"/>
          <w:sz w:val="32"/>
          <w:szCs w:val="32"/>
        </w:rPr>
        <w:t>２、其他（类）（款）（项）支出无。</w:t>
      </w:r>
    </w:p>
    <w:p>
      <w:pPr>
        <w:snapToGrid w:val="0"/>
        <w:spacing w:line="460" w:lineRule="exact"/>
        <w:rPr>
          <w:rFonts w:ascii="黑体" w:hAnsi="黑体" w:eastAsia="黑体"/>
          <w:sz w:val="32"/>
          <w:szCs w:val="32"/>
        </w:rPr>
      </w:pPr>
      <w:r>
        <w:rPr>
          <w:rFonts w:hint="eastAsia" w:ascii="黑体" w:hAnsi="黑体" w:eastAsia="黑体"/>
          <w:sz w:val="32"/>
          <w:szCs w:val="32"/>
        </w:rPr>
        <w:t>　　六、一般公共预算财政拨款基本支出决算情况说明</w:t>
      </w:r>
    </w:p>
    <w:p>
      <w:pPr>
        <w:ind w:firstLine="643"/>
        <w:rPr>
          <w:rFonts w:ascii="仿宋_GB2312" w:hAnsi="仿宋" w:eastAsia="仿宋_GB2312"/>
          <w:sz w:val="32"/>
          <w:szCs w:val="32"/>
        </w:rPr>
      </w:pPr>
      <w:r>
        <w:rPr>
          <w:rFonts w:hint="eastAsia" w:ascii="仿宋" w:hAnsi="仿宋" w:eastAsia="仿宋" w:cs="仿宋"/>
          <w:sz w:val="32"/>
          <w:szCs w:val="32"/>
        </w:rPr>
        <w:t>2018年度财政拨款基本支出175.9万元，其中：人员经费支出148.4万元，占基本支出的84.36%，主要包括基本工资、津贴补贴、奖金、伙食补助费、其他社会保障缴费、医疗费补助、其他家庭和个人的补助支出等；公用经费支出27.5万元，占总支出的15.64%，主要包括办公费、咨询费、邮电费、差旅费、培训费、其他交通费用、工会会费、其他商品和服务支出等</w:t>
      </w:r>
      <w:r>
        <w:rPr>
          <w:rFonts w:hint="eastAsia" w:ascii="仿宋_GB2312" w:hAnsi="仿宋" w:eastAsia="仿宋_GB2312"/>
          <w:sz w:val="32"/>
          <w:szCs w:val="32"/>
        </w:rPr>
        <w:t>。</w:t>
      </w:r>
    </w:p>
    <w:p>
      <w:pPr>
        <w:snapToGrid w:val="0"/>
        <w:spacing w:line="460" w:lineRule="exact"/>
        <w:rPr>
          <w:rFonts w:ascii="黑体" w:hAnsi="黑体" w:eastAsia="黑体"/>
          <w:sz w:val="32"/>
          <w:szCs w:val="32"/>
        </w:rPr>
      </w:pPr>
      <w:r>
        <w:rPr>
          <w:rFonts w:hint="eastAsia" w:ascii="黑体" w:hAnsi="黑体" w:eastAsia="黑体"/>
          <w:sz w:val="32"/>
          <w:szCs w:val="32"/>
        </w:rPr>
        <w:t>　　七、一般公共预算财政拨款三公经费支出决算情况说明</w:t>
      </w:r>
    </w:p>
    <w:p>
      <w:pPr>
        <w:ind w:firstLine="643"/>
        <w:rPr>
          <w:rFonts w:ascii="仿宋_GB2312" w:hAnsi="仿宋" w:eastAsia="仿宋_GB2312"/>
          <w:sz w:val="32"/>
          <w:szCs w:val="32"/>
        </w:rPr>
      </w:pPr>
      <w:r>
        <w:rPr>
          <w:rFonts w:hint="eastAsia" w:ascii="仿宋_GB2312" w:hAnsi="仿宋" w:eastAsia="仿宋_GB2312"/>
          <w:sz w:val="32"/>
          <w:szCs w:val="32"/>
        </w:rPr>
        <w:t>（一）“三公”经费财政拨款支出决算总体情况说明</w:t>
      </w:r>
    </w:p>
    <w:p>
      <w:pPr>
        <w:ind w:firstLine="643"/>
        <w:rPr>
          <w:rFonts w:ascii="仿宋_GB2312" w:hAnsi="仿宋" w:eastAsia="仿宋_GB2312"/>
          <w:sz w:val="32"/>
          <w:szCs w:val="32"/>
        </w:rPr>
      </w:pPr>
      <w:r>
        <w:rPr>
          <w:rFonts w:hint="eastAsia" w:ascii="仿宋_GB2312" w:hAnsi="仿宋" w:eastAsia="仿宋_GB2312"/>
          <w:sz w:val="32"/>
          <w:szCs w:val="32"/>
        </w:rPr>
        <w:t>“三公”经费财政拨款支出预算为5万元，支出决算为0万元，完成预算的0%，其中：</w:t>
      </w:r>
    </w:p>
    <w:p>
      <w:pPr>
        <w:ind w:firstLine="643"/>
        <w:rPr>
          <w:rFonts w:ascii="仿宋_GB2312" w:hAnsi="仿宋" w:eastAsia="仿宋_GB2312"/>
          <w:sz w:val="32"/>
          <w:szCs w:val="32"/>
        </w:rPr>
      </w:pPr>
      <w:r>
        <w:rPr>
          <w:rFonts w:hint="eastAsia" w:ascii="仿宋_GB2312" w:hAnsi="仿宋" w:eastAsia="仿宋_GB2312"/>
          <w:sz w:val="32"/>
          <w:szCs w:val="32"/>
        </w:rPr>
        <w:t>因公出国（境）费支出预算为0万元，支出决算为0万元，完成预算的100%，与上年持平。</w:t>
      </w:r>
    </w:p>
    <w:p>
      <w:pPr>
        <w:ind w:firstLine="643"/>
        <w:rPr>
          <w:rFonts w:ascii="仿宋_GB2312" w:hAnsi="仿宋" w:eastAsia="仿宋_GB2312"/>
          <w:sz w:val="32"/>
          <w:szCs w:val="32"/>
        </w:rPr>
      </w:pPr>
      <w:r>
        <w:rPr>
          <w:rFonts w:hint="eastAsia" w:ascii="仿宋_GB2312" w:hAnsi="仿宋" w:eastAsia="仿宋_GB2312"/>
          <w:sz w:val="32"/>
          <w:szCs w:val="32"/>
        </w:rPr>
        <w:t>公务接待费支出预算为5万元，支出决算为0万元，完成</w:t>
      </w:r>
    </w:p>
    <w:p>
      <w:pPr>
        <w:rPr>
          <w:rFonts w:ascii="仿宋_GB2312" w:hAnsi="仿宋" w:eastAsia="仿宋_GB2312"/>
          <w:sz w:val="32"/>
          <w:szCs w:val="32"/>
        </w:rPr>
      </w:pPr>
      <w:r>
        <w:rPr>
          <w:rFonts w:hint="eastAsia" w:ascii="仿宋_GB2312" w:hAnsi="仿宋" w:eastAsia="仿宋_GB2312"/>
          <w:sz w:val="32"/>
          <w:szCs w:val="32"/>
        </w:rPr>
        <w:t>预算的0%，与上年持平。</w:t>
      </w:r>
    </w:p>
    <w:p>
      <w:pPr>
        <w:ind w:firstLine="643"/>
        <w:rPr>
          <w:rFonts w:ascii="仿宋_GB2312" w:hAnsi="仿宋" w:eastAsia="仿宋_GB2312"/>
          <w:sz w:val="32"/>
          <w:szCs w:val="32"/>
        </w:rPr>
      </w:pPr>
      <w:r>
        <w:rPr>
          <w:rFonts w:hint="eastAsia" w:ascii="仿宋_GB2312" w:hAnsi="仿宋" w:eastAsia="仿宋_GB2312"/>
          <w:sz w:val="32"/>
          <w:szCs w:val="32"/>
        </w:rPr>
        <w:t>公务用车购置费及运行维护费支出预算为0万元，支出决算为0万元，完成预算的0%，与上年持平。</w:t>
      </w:r>
    </w:p>
    <w:p>
      <w:pPr>
        <w:ind w:firstLine="643"/>
        <w:rPr>
          <w:rFonts w:ascii="仿宋_GB2312" w:hAnsi="仿宋" w:eastAsia="仿宋_GB2312"/>
          <w:sz w:val="32"/>
          <w:szCs w:val="32"/>
        </w:rPr>
      </w:pPr>
      <w:r>
        <w:rPr>
          <w:rFonts w:hint="eastAsia" w:ascii="仿宋_GB2312" w:hAnsi="仿宋" w:eastAsia="仿宋_GB2312"/>
          <w:sz w:val="32"/>
          <w:szCs w:val="32"/>
        </w:rPr>
        <w:t>三公经费总体支出减少5万元，减少的原因主要是我中心较好的落实了中央和省市要求，厉行节约，压缩一般性行政经费，严格三公经费支出的审核把关和规范三公经费支出程序。</w:t>
      </w:r>
    </w:p>
    <w:p>
      <w:pPr>
        <w:ind w:firstLine="643"/>
        <w:rPr>
          <w:rFonts w:ascii="仿宋_GB2312" w:hAnsi="仿宋" w:eastAsia="仿宋_GB2312"/>
          <w:sz w:val="32"/>
          <w:szCs w:val="32"/>
        </w:rPr>
      </w:pPr>
      <w:r>
        <w:rPr>
          <w:rFonts w:hint="eastAsia" w:ascii="仿宋_GB2312" w:hAnsi="仿宋" w:eastAsia="仿宋_GB2312"/>
          <w:sz w:val="32"/>
          <w:szCs w:val="32"/>
        </w:rPr>
        <w:t>（二）“三公”经费财政拨款支出决算具体情况说明</w:t>
      </w:r>
    </w:p>
    <w:p>
      <w:pPr>
        <w:ind w:firstLine="643"/>
        <w:rPr>
          <w:rFonts w:ascii="仿宋_GB2312" w:hAnsi="仿宋" w:eastAsia="仿宋_GB2312"/>
          <w:sz w:val="32"/>
          <w:szCs w:val="32"/>
        </w:rPr>
      </w:pPr>
      <w:r>
        <w:rPr>
          <w:rFonts w:hint="eastAsia" w:ascii="仿宋_GB2312" w:hAnsi="仿宋" w:eastAsia="仿宋_GB2312"/>
          <w:sz w:val="32"/>
          <w:szCs w:val="32"/>
        </w:rPr>
        <w:t>2018年度“三公”经费财政拨款支出决算中，公务接待费支出决算0万元，占0%,因公出国（境）费支出决算0万元，占0%,公务用车购置费及运行维护费支出决算0万元，占0%。其中：</w:t>
      </w:r>
    </w:p>
    <w:p>
      <w:pPr>
        <w:spacing w:line="460" w:lineRule="exact"/>
        <w:ind w:firstLine="640" w:firstLineChars="200"/>
        <w:rPr>
          <w:rFonts w:ascii="仿宋_GB2312" w:hAnsi="仿宋" w:eastAsia="仿宋_GB2312"/>
          <w:sz w:val="32"/>
          <w:szCs w:val="32"/>
        </w:rPr>
      </w:pPr>
      <w:r>
        <w:rPr>
          <w:rFonts w:hint="eastAsia" w:ascii="仿宋_GB2312" w:hAnsi="仿宋" w:eastAsia="仿宋_GB2312"/>
          <w:sz w:val="32"/>
          <w:szCs w:val="32"/>
        </w:rPr>
        <w:t>1、公务接待费支出决算0万元，共接待0批次0人，同比减少0.15万元，变化原因是加强管理，厉行节约。</w:t>
      </w:r>
    </w:p>
    <w:p>
      <w:pPr>
        <w:spacing w:line="46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2、公务用车购置费支出决算0万元；公务用车运行维护费支出决算0万元，与上年持平。</w:t>
      </w:r>
      <w:r>
        <w:rPr>
          <w:rFonts w:hint="eastAsia" w:ascii="仿宋_GB2312" w:hAnsi="仿宋" w:eastAsia="仿宋_GB2312"/>
          <w:sz w:val="32"/>
          <w:szCs w:val="32"/>
          <w:lang w:val="en-US" w:eastAsia="zh-CN"/>
        </w:rPr>
        <w:t>公务用车保有辆量0辆。</w:t>
      </w:r>
      <w:bookmarkStart w:id="1" w:name="_GoBack"/>
      <w:bookmarkEnd w:id="1"/>
    </w:p>
    <w:p>
      <w:pPr>
        <w:spacing w:line="460" w:lineRule="exact"/>
        <w:ind w:firstLine="640" w:firstLineChars="200"/>
        <w:rPr>
          <w:rFonts w:ascii="仿宋_GB2312" w:hAnsi="仿宋" w:eastAsia="仿宋_GB2312"/>
          <w:sz w:val="32"/>
          <w:szCs w:val="32"/>
        </w:rPr>
      </w:pPr>
      <w:r>
        <w:rPr>
          <w:rFonts w:hint="eastAsia" w:ascii="仿宋_GB2312" w:hAnsi="仿宋" w:eastAsia="仿宋_GB2312"/>
          <w:sz w:val="32"/>
          <w:szCs w:val="32"/>
        </w:rPr>
        <w:t>3、因公出国（境）费无支出，与上年持平。</w:t>
      </w:r>
    </w:p>
    <w:p>
      <w:pPr>
        <w:snapToGrid w:val="0"/>
        <w:spacing w:line="460" w:lineRule="exact"/>
        <w:rPr>
          <w:rFonts w:ascii="黑体" w:hAnsi="黑体" w:eastAsia="黑体"/>
          <w:sz w:val="32"/>
          <w:szCs w:val="32"/>
        </w:rPr>
      </w:pPr>
      <w:r>
        <w:rPr>
          <w:rFonts w:hint="eastAsia" w:ascii="黑体" w:hAnsi="黑体" w:eastAsia="黑体"/>
          <w:sz w:val="32"/>
          <w:szCs w:val="32"/>
        </w:rPr>
        <w:t>　　八、政府性基金预算收入支出决算情况</w:t>
      </w:r>
    </w:p>
    <w:p>
      <w:pPr>
        <w:spacing w:line="460" w:lineRule="exact"/>
        <w:ind w:firstLine="640" w:firstLineChars="200"/>
        <w:rPr>
          <w:rFonts w:ascii="仿宋_GB2312" w:hAnsi="仿宋" w:eastAsia="仿宋_GB2312"/>
          <w:sz w:val="32"/>
          <w:szCs w:val="32"/>
        </w:rPr>
      </w:pPr>
      <w:r>
        <w:rPr>
          <w:rFonts w:hint="eastAsia" w:ascii="仿宋_GB2312" w:hAnsi="仿宋" w:eastAsia="仿宋_GB2312"/>
          <w:sz w:val="32"/>
          <w:szCs w:val="32"/>
        </w:rPr>
        <w:t>2018 年度无政府性基金预算收入，无政府性基金预算支出。</w:t>
      </w:r>
    </w:p>
    <w:p>
      <w:pPr>
        <w:snapToGrid w:val="0"/>
        <w:spacing w:line="460" w:lineRule="exact"/>
        <w:rPr>
          <w:rFonts w:ascii="黑体" w:hAnsi="黑体" w:eastAsia="黑体"/>
          <w:sz w:val="32"/>
          <w:szCs w:val="32"/>
        </w:rPr>
      </w:pPr>
      <w:r>
        <w:rPr>
          <w:rFonts w:hint="eastAsia" w:ascii="黑体" w:hAnsi="黑体" w:eastAsia="黑体"/>
          <w:sz w:val="32"/>
          <w:szCs w:val="32"/>
        </w:rPr>
        <w:t>　　九、关于2018年度预算绩效情况说明</w:t>
      </w:r>
    </w:p>
    <w:p>
      <w:pPr>
        <w:widowControl/>
        <w:spacing w:line="520" w:lineRule="exact"/>
        <w:ind w:firstLine="640"/>
        <w:jc w:val="left"/>
        <w:rPr>
          <w:rFonts w:ascii="仿宋_GB2312" w:hAnsi="仿宋" w:eastAsia="Times New Roman"/>
          <w:color w:val="000000"/>
          <w:kern w:val="0"/>
          <w:sz w:val="32"/>
          <w:szCs w:val="32"/>
        </w:rPr>
      </w:pPr>
      <w:r>
        <w:rPr>
          <w:rFonts w:hint="eastAsia" w:ascii="仿宋_GB2312" w:eastAsia="仿宋_GB2312"/>
          <w:sz w:val="32"/>
          <w:szCs w:val="32"/>
        </w:rPr>
        <w:t>根据预算绩效管理要求，对</w:t>
      </w:r>
      <w:r>
        <w:rPr>
          <w:rFonts w:ascii="仿宋_GB2312" w:eastAsia="仿宋_GB2312"/>
          <w:sz w:val="32"/>
          <w:szCs w:val="32"/>
        </w:rPr>
        <w:t>2018</w:t>
      </w:r>
      <w:r>
        <w:rPr>
          <w:rFonts w:hint="eastAsia" w:ascii="仿宋_GB2312" w:eastAsia="仿宋_GB2312"/>
          <w:sz w:val="32"/>
          <w:szCs w:val="32"/>
        </w:rPr>
        <w:t>年度一般公共预算项目支出全面开展绩效自评，共涉及资金273万元，占一般公共预算项目支出总额的</w:t>
      </w:r>
      <w:r>
        <w:rPr>
          <w:rFonts w:ascii="仿宋_GB2312" w:eastAsia="仿宋_GB2312"/>
          <w:sz w:val="32"/>
          <w:szCs w:val="32"/>
        </w:rPr>
        <w:t>100  %</w:t>
      </w:r>
      <w:r>
        <w:rPr>
          <w:rFonts w:hint="eastAsia" w:ascii="仿宋_GB2312" w:eastAsia="仿宋_GB2312"/>
          <w:sz w:val="32"/>
          <w:szCs w:val="32"/>
        </w:rPr>
        <w:t>；对</w:t>
      </w:r>
      <w:r>
        <w:rPr>
          <w:rFonts w:ascii="仿宋_GB2312" w:eastAsia="仿宋_GB2312"/>
          <w:sz w:val="32"/>
          <w:szCs w:val="32"/>
        </w:rPr>
        <w:t>2018</w:t>
      </w:r>
      <w:r>
        <w:rPr>
          <w:rFonts w:hint="eastAsia" w:ascii="仿宋_GB2312" w:eastAsia="仿宋_GB2312"/>
          <w:sz w:val="32"/>
          <w:szCs w:val="32"/>
        </w:rPr>
        <w:t>年度政府性基金预算项目支出开展绩效自评，共涉及资金</w:t>
      </w:r>
      <w:r>
        <w:rPr>
          <w:rFonts w:ascii="仿宋_GB2312" w:eastAsia="仿宋_GB2312"/>
          <w:sz w:val="32"/>
          <w:szCs w:val="32"/>
        </w:rPr>
        <w:t xml:space="preserve"> 0 </w:t>
      </w:r>
      <w:r>
        <w:rPr>
          <w:rFonts w:hint="eastAsia" w:ascii="仿宋_GB2312" w:eastAsia="仿宋_GB2312"/>
          <w:sz w:val="32"/>
          <w:szCs w:val="32"/>
        </w:rPr>
        <w:t>万元，占政府性基金预算项目支出总额的0</w:t>
      </w:r>
      <w:r>
        <w:rPr>
          <w:rFonts w:ascii="仿宋_GB2312" w:eastAsia="仿宋_GB2312"/>
          <w:sz w:val="32"/>
          <w:szCs w:val="32"/>
        </w:rPr>
        <w:t xml:space="preserve"> %</w:t>
      </w:r>
      <w:r>
        <w:rPr>
          <w:rFonts w:hint="eastAsia" w:ascii="仿宋_GB2312" w:eastAsia="仿宋_GB2312"/>
          <w:sz w:val="32"/>
          <w:szCs w:val="32"/>
        </w:rPr>
        <w:t>。</w:t>
      </w:r>
    </w:p>
    <w:p>
      <w:pPr>
        <w:widowControl/>
        <w:shd w:val="clear" w:color="auto" w:fill="FFFFFF"/>
        <w:autoSpaceDE w:val="0"/>
        <w:spacing w:line="520" w:lineRule="exact"/>
        <w:ind w:firstLine="640"/>
        <w:jc w:val="left"/>
        <w:rPr>
          <w:rFonts w:ascii="仿宋" w:hAnsi="仿宋" w:eastAsia="仿宋" w:cs="仿宋_GB2312"/>
          <w:color w:val="000000"/>
          <w:kern w:val="0"/>
          <w:sz w:val="32"/>
          <w:szCs w:val="32"/>
        </w:rPr>
      </w:pPr>
      <w:r>
        <w:rPr>
          <w:rFonts w:ascii="仿宋" w:hAnsi="仿宋" w:eastAsia="仿宋" w:cs="仿宋_GB2312"/>
          <w:color w:val="000000"/>
          <w:kern w:val="0"/>
          <w:sz w:val="32"/>
          <w:szCs w:val="32"/>
        </w:rPr>
        <w:t>我</w:t>
      </w:r>
      <w:r>
        <w:rPr>
          <w:rFonts w:hint="eastAsia" w:ascii="仿宋" w:hAnsi="仿宋" w:eastAsia="仿宋" w:cs="仿宋_GB2312"/>
          <w:color w:val="000000"/>
          <w:kern w:val="0"/>
          <w:sz w:val="32"/>
          <w:szCs w:val="32"/>
        </w:rPr>
        <w:t>中心</w:t>
      </w:r>
      <w:r>
        <w:rPr>
          <w:rFonts w:ascii="仿宋" w:hAnsi="仿宋" w:eastAsia="仿宋" w:cs="仿宋_GB2312"/>
          <w:color w:val="000000"/>
          <w:kern w:val="0"/>
          <w:sz w:val="32"/>
          <w:szCs w:val="32"/>
        </w:rPr>
        <w:t>财务管理工作严格按照国家的相关财务管理制度执行，财务制度健全、会计核算规范，依照计划管理使用，部门整体支出对保障我</w:t>
      </w:r>
      <w:r>
        <w:rPr>
          <w:rFonts w:hint="eastAsia" w:ascii="仿宋" w:hAnsi="仿宋" w:eastAsia="仿宋" w:cs="仿宋_GB2312"/>
          <w:color w:val="000000"/>
          <w:kern w:val="0"/>
          <w:sz w:val="32"/>
          <w:szCs w:val="32"/>
        </w:rPr>
        <w:t>中心</w:t>
      </w:r>
      <w:r>
        <w:rPr>
          <w:rFonts w:ascii="仿宋" w:hAnsi="仿宋" w:eastAsia="仿宋" w:cs="仿宋_GB2312"/>
          <w:color w:val="000000"/>
          <w:kern w:val="0"/>
          <w:sz w:val="32"/>
          <w:szCs w:val="32"/>
        </w:rPr>
        <w:t>各项工作的高效运行发挥了重要作用，对照《部门整体支出绩效评价指标表》，我</w:t>
      </w:r>
      <w:r>
        <w:rPr>
          <w:rFonts w:hint="eastAsia" w:ascii="仿宋" w:hAnsi="仿宋" w:eastAsia="仿宋" w:cs="仿宋_GB2312"/>
          <w:color w:val="000000"/>
          <w:kern w:val="0"/>
          <w:sz w:val="32"/>
          <w:szCs w:val="32"/>
        </w:rPr>
        <w:t>中心</w:t>
      </w:r>
      <w:r>
        <w:rPr>
          <w:rFonts w:ascii="仿宋" w:hAnsi="仿宋" w:eastAsia="仿宋" w:cs="仿宋_GB2312"/>
          <w:color w:val="000000"/>
          <w:kern w:val="0"/>
          <w:sz w:val="32"/>
          <w:szCs w:val="32"/>
        </w:rPr>
        <w:t>各项指标都较好地达到了相关要求，2018年部门整体支出绩效自评结论：优。</w:t>
      </w:r>
      <w:r>
        <w:rPr>
          <w:rFonts w:hint="eastAsia" w:ascii="仿宋" w:hAnsi="仿宋" w:eastAsia="仿宋" w:cs="仿宋_GB2312"/>
          <w:color w:val="000000"/>
          <w:kern w:val="0"/>
          <w:sz w:val="32"/>
          <w:szCs w:val="32"/>
        </w:rPr>
        <w:t>（详见附件：2018 年度部门整体支出绩效自评报告）</w:t>
      </w:r>
    </w:p>
    <w:p>
      <w:pPr>
        <w:snapToGrid w:val="0"/>
        <w:spacing w:line="460" w:lineRule="exact"/>
        <w:rPr>
          <w:rFonts w:ascii="黑体" w:hAnsi="黑体" w:eastAsia="黑体"/>
          <w:sz w:val="32"/>
          <w:szCs w:val="32"/>
        </w:rPr>
      </w:pPr>
      <w:r>
        <w:rPr>
          <w:rFonts w:hint="eastAsia" w:ascii="黑体" w:hAnsi="黑体" w:eastAsia="黑体"/>
          <w:sz w:val="32"/>
          <w:szCs w:val="32"/>
        </w:rPr>
        <w:t>　　十、其他重要事项情况说明</w:t>
      </w:r>
    </w:p>
    <w:p>
      <w:pPr>
        <w:widowControl/>
        <w:shd w:val="clear" w:color="auto" w:fill="FFFFFF"/>
        <w:autoSpaceDE w:val="0"/>
        <w:spacing w:line="520" w:lineRule="exact"/>
        <w:ind w:firstLine="64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（一）机关运行经费支出情况</w:t>
      </w:r>
    </w:p>
    <w:p>
      <w:pPr>
        <w:spacing w:line="460" w:lineRule="exact"/>
        <w:ind w:firstLine="480"/>
        <w:rPr>
          <w:rFonts w:ascii="仿宋_GB2312" w:hAnsi="仿宋" w:eastAsia="仿宋_GB2312"/>
          <w:bCs/>
          <w:color w:val="000000"/>
          <w:sz w:val="32"/>
          <w:szCs w:val="32"/>
        </w:rPr>
      </w:pPr>
      <w:r>
        <w:rPr>
          <w:rFonts w:hint="eastAsia" w:ascii="仿宋_GB2312" w:hAnsi="仿宋" w:eastAsia="仿宋_GB2312" w:cs="仿宋"/>
          <w:bCs/>
          <w:color w:val="000000"/>
          <w:sz w:val="32"/>
          <w:szCs w:val="32"/>
        </w:rPr>
        <w:t>机关运行经费支出27.5万元，实际日常公用经费为27.5万元，占基本支出的</w:t>
      </w:r>
      <w:r>
        <w:rPr>
          <w:rFonts w:hint="eastAsia" w:ascii="仿宋" w:hAnsi="仿宋" w:eastAsia="仿宋" w:cs="仿宋"/>
          <w:sz w:val="32"/>
          <w:szCs w:val="32"/>
        </w:rPr>
        <w:t>15.64</w:t>
      </w:r>
      <w:r>
        <w:rPr>
          <w:rFonts w:hint="eastAsia" w:ascii="仿宋_GB2312" w:hAnsi="仿宋" w:eastAsia="仿宋_GB2312" w:cs="仿宋"/>
          <w:bCs/>
          <w:color w:val="000000"/>
          <w:sz w:val="32"/>
          <w:szCs w:val="32"/>
        </w:rPr>
        <w:t>%，同比增加129%，主要原因为车改后其他交通补助费和工会经费等费用支出增加。</w:t>
      </w:r>
    </w:p>
    <w:p>
      <w:pPr>
        <w:spacing w:line="460" w:lineRule="exact"/>
        <w:ind w:firstLine="640" w:firstLineChars="200"/>
        <w:rPr>
          <w:rFonts w:ascii="仿宋_GB2312" w:hAnsi="仿宋" w:eastAsia="仿宋_GB2312"/>
          <w:sz w:val="32"/>
          <w:szCs w:val="32"/>
        </w:rPr>
      </w:pPr>
      <w:r>
        <w:rPr>
          <w:rFonts w:hint="eastAsia" w:ascii="仿宋_GB2312" w:hAnsi="仿宋" w:eastAsia="仿宋_GB2312"/>
          <w:sz w:val="32"/>
          <w:szCs w:val="32"/>
        </w:rPr>
        <w:t>（二）一般性支出情况</w:t>
      </w:r>
    </w:p>
    <w:p>
      <w:pPr>
        <w:rPr>
          <w:rFonts w:ascii="仿宋_GB2312" w:hAnsi="仿宋" w:eastAsia="仿宋_GB2312"/>
          <w:sz w:val="32"/>
          <w:szCs w:val="32"/>
        </w:rPr>
      </w:pPr>
      <w:r>
        <w:rPr>
          <w:rFonts w:hint="eastAsia" w:ascii="仿宋_GB2312" w:hAnsi="仿宋" w:eastAsia="仿宋_GB2312"/>
          <w:sz w:val="32"/>
          <w:szCs w:val="32"/>
        </w:rPr>
        <w:t>　　　2018 年本部门开支会议费0.7 万元，用于党建工作会议支出；开支培训费0.2 万元，主要参加</w:t>
      </w:r>
      <w:r>
        <w:rPr>
          <w:rFonts w:hint="eastAsia" w:ascii="仿宋" w:hAnsi="仿宋" w:eastAsia="仿宋"/>
          <w:sz w:val="32"/>
          <w:szCs w:val="32"/>
        </w:rPr>
        <w:t>省局相关专业培训</w:t>
      </w:r>
      <w:r>
        <w:rPr>
          <w:rFonts w:hint="eastAsia" w:ascii="仿宋_GB2312" w:hAnsi="仿宋" w:eastAsia="仿宋_GB2312"/>
          <w:sz w:val="32"/>
          <w:szCs w:val="32"/>
        </w:rPr>
        <w:t>。</w:t>
      </w:r>
    </w:p>
    <w:p>
      <w:pPr>
        <w:spacing w:line="460" w:lineRule="exact"/>
        <w:ind w:firstLine="640" w:firstLineChars="200"/>
        <w:rPr>
          <w:rFonts w:ascii="仿宋_GB2312" w:hAnsi="仿宋" w:eastAsia="仿宋_GB2312"/>
          <w:sz w:val="32"/>
          <w:szCs w:val="32"/>
        </w:rPr>
      </w:pPr>
      <w:r>
        <w:rPr>
          <w:rFonts w:hint="eastAsia" w:ascii="仿宋_GB2312" w:hAnsi="仿宋" w:eastAsia="仿宋_GB2312"/>
          <w:sz w:val="32"/>
          <w:szCs w:val="32"/>
        </w:rPr>
        <w:t>（三）政府采购支出情况</w:t>
      </w:r>
    </w:p>
    <w:p>
      <w:pPr>
        <w:snapToGrid w:val="0"/>
        <w:spacing w:line="46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政府采购支出0万元，与上年持平。其中：政府采购货物支出0万元、政府采购工程支出0万元、政府采购服务支出0万元。授予中小企业合同金额0万元，占政府采购支出总额的0%，其中：授予小微企业合同金额0万元，占政府采购支出总额的0%</w:t>
      </w:r>
    </w:p>
    <w:p>
      <w:pPr>
        <w:spacing w:line="460" w:lineRule="exact"/>
        <w:ind w:firstLine="640" w:firstLineChars="200"/>
        <w:rPr>
          <w:rFonts w:ascii="仿宋_GB2312" w:hAnsi="仿宋" w:eastAsia="仿宋_GB2312"/>
          <w:sz w:val="32"/>
          <w:szCs w:val="32"/>
        </w:rPr>
      </w:pPr>
      <w:r>
        <w:rPr>
          <w:rFonts w:hint="eastAsia" w:ascii="仿宋_GB2312" w:hAnsi="仿宋" w:eastAsia="仿宋_GB2312"/>
          <w:sz w:val="32"/>
          <w:szCs w:val="32"/>
        </w:rPr>
        <w:t>（四）国有资产占用情况</w:t>
      </w:r>
    </w:p>
    <w:p>
      <w:pPr>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2018</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日，共有车辆</w:t>
      </w:r>
      <w:r>
        <w:rPr>
          <w:rFonts w:ascii="仿宋_GB2312" w:eastAsia="仿宋_GB2312"/>
          <w:sz w:val="32"/>
          <w:szCs w:val="32"/>
        </w:rPr>
        <w:t xml:space="preserve"> 0   </w:t>
      </w:r>
      <w:r>
        <w:rPr>
          <w:rFonts w:hint="eastAsia" w:ascii="仿宋_GB2312" w:eastAsia="仿宋_GB2312"/>
          <w:sz w:val="32"/>
          <w:szCs w:val="32"/>
        </w:rPr>
        <w:t>辆，其中，单位价值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 xml:space="preserve">  0 </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 xml:space="preserve">   0</w:t>
      </w:r>
      <w:r>
        <w:rPr>
          <w:rFonts w:hint="eastAsia" w:ascii="仿宋_GB2312" w:eastAsia="仿宋_GB2312"/>
          <w:sz w:val="32"/>
          <w:szCs w:val="32"/>
        </w:rPr>
        <w:t>台（套）。</w:t>
      </w:r>
    </w:p>
    <w:p>
      <w:pPr>
        <w:spacing w:line="460" w:lineRule="exact"/>
        <w:ind w:firstLine="640" w:firstLineChars="200"/>
        <w:rPr>
          <w:rFonts w:ascii="仿宋_GB2312" w:hAnsi="仿宋" w:eastAsia="仿宋_GB2312"/>
          <w:sz w:val="32"/>
          <w:szCs w:val="32"/>
        </w:rPr>
      </w:pPr>
    </w:p>
    <w:p>
      <w:pPr>
        <w:spacing w:line="1400" w:lineRule="exact"/>
        <w:ind w:firstLine="640" w:firstLineChars="200"/>
        <w:rPr>
          <w:rFonts w:ascii="黑体" w:hAnsi="仿宋" w:eastAsia="黑体"/>
          <w:sz w:val="32"/>
          <w:szCs w:val="32"/>
        </w:rPr>
      </w:pPr>
      <w:r>
        <w:rPr>
          <w:rFonts w:hint="eastAsia" w:ascii="黑体" w:hAnsi="仿宋" w:eastAsia="黑体"/>
          <w:sz w:val="32"/>
          <w:szCs w:val="32"/>
        </w:rPr>
        <w:br w:type="page"/>
      </w:r>
    </w:p>
    <w:p>
      <w:pPr>
        <w:spacing w:line="1400" w:lineRule="exact"/>
        <w:ind w:firstLine="640" w:firstLineChars="200"/>
        <w:rPr>
          <w:rFonts w:ascii="黑体" w:hAnsi="仿宋" w:eastAsia="黑体"/>
          <w:sz w:val="32"/>
          <w:szCs w:val="32"/>
        </w:rPr>
      </w:pPr>
    </w:p>
    <w:p>
      <w:pPr>
        <w:spacing w:line="1400" w:lineRule="exact"/>
        <w:ind w:firstLine="640" w:firstLineChars="200"/>
        <w:rPr>
          <w:rFonts w:ascii="黑体" w:hAnsi="仿宋" w:eastAsia="黑体"/>
          <w:sz w:val="32"/>
          <w:szCs w:val="32"/>
        </w:rPr>
      </w:pPr>
    </w:p>
    <w:p>
      <w:pPr>
        <w:spacing w:line="1400" w:lineRule="exact"/>
        <w:jc w:val="center"/>
        <w:rPr>
          <w:rFonts w:ascii="黑体" w:hAnsi="黑体" w:eastAsia="黑体"/>
          <w:b/>
          <w:sz w:val="84"/>
          <w:szCs w:val="84"/>
        </w:rPr>
      </w:pPr>
      <w:r>
        <w:rPr>
          <w:rFonts w:hint="eastAsia" w:ascii="黑体" w:hAnsi="黑体" w:eastAsia="黑体"/>
          <w:b/>
          <w:sz w:val="84"/>
          <w:szCs w:val="84"/>
        </w:rPr>
        <w:t>第四部分</w:t>
      </w:r>
    </w:p>
    <w:p>
      <w:pPr>
        <w:spacing w:line="1400" w:lineRule="exact"/>
        <w:jc w:val="center"/>
        <w:rPr>
          <w:rFonts w:ascii="黑体" w:hAnsi="黑体" w:eastAsia="黑体"/>
          <w:b/>
          <w:sz w:val="84"/>
          <w:szCs w:val="84"/>
        </w:rPr>
      </w:pPr>
      <w:r>
        <w:rPr>
          <w:rFonts w:hint="eastAsia" w:ascii="黑体" w:hAnsi="黑体" w:eastAsia="黑体"/>
          <w:b/>
          <w:sz w:val="84"/>
          <w:szCs w:val="84"/>
        </w:rPr>
        <w:t>专业名词解释</w:t>
      </w:r>
    </w:p>
    <w:p>
      <w:pPr>
        <w:widowControl/>
        <w:jc w:val="left"/>
        <w:rPr>
          <w:rFonts w:ascii="仿宋_GB2312" w:eastAsia="仿宋_GB2312"/>
        </w:rPr>
      </w:pPr>
      <w:r>
        <w:rPr>
          <w:rFonts w:hint="eastAsia" w:ascii="黑体" w:hAnsi="仿宋" w:eastAsia="黑体"/>
          <w:sz w:val="32"/>
          <w:szCs w:val="32"/>
        </w:rPr>
        <w:br w:type="page"/>
      </w:r>
    </w:p>
    <w:p>
      <w:pPr>
        <w:rPr>
          <w:rFonts w:ascii="仿宋_GB2312" w:eastAsia="仿宋_GB2312"/>
        </w:rPr>
      </w:pPr>
      <w:r>
        <w:rPr>
          <w:rFonts w:hint="eastAsia" w:ascii="仿宋_GB2312" w:hAnsi="仿宋" w:eastAsia="仿宋_GB2312"/>
          <w:sz w:val="32"/>
          <w:szCs w:val="32"/>
        </w:rPr>
        <w:t>　　</w:t>
      </w:r>
      <w:r>
        <w:rPr>
          <w:rFonts w:hint="eastAsia" w:ascii="仿宋_GB2312" w:hAnsi="仿宋_GB2312" w:eastAsia="仿宋_GB2312" w:cs="仿宋_GB2312"/>
          <w:b/>
          <w:color w:val="000000"/>
          <w:kern w:val="0"/>
          <w:sz w:val="32"/>
          <w:szCs w:val="32"/>
        </w:rPr>
        <w:t>（一）财政拨款收入</w:t>
      </w:r>
      <w:r>
        <w:rPr>
          <w:rFonts w:hint="eastAsia" w:ascii="仿宋_GB2312" w:hAnsi="仿宋_GB2312" w:eastAsia="仿宋_GB2312" w:cs="仿宋_GB2312"/>
          <w:color w:val="000000"/>
          <w:kern w:val="0"/>
          <w:sz w:val="32"/>
          <w:szCs w:val="32"/>
        </w:rPr>
        <w:t xml:space="preserve">：指单位从同级财政部门取得的财政预算资金。 </w:t>
      </w:r>
    </w:p>
    <w:p>
      <w:pPr>
        <w:widowControl/>
        <w:ind w:firstLine="643" w:firstLineChars="200"/>
        <w:jc w:val="left"/>
        <w:rPr>
          <w:rFonts w:ascii="仿宋_GB2312" w:eastAsia="仿宋_GB2312"/>
        </w:rPr>
      </w:pPr>
      <w:r>
        <w:rPr>
          <w:rFonts w:hint="eastAsia" w:ascii="仿宋_GB2312" w:hAnsi="仿宋_GB2312" w:eastAsia="仿宋_GB2312" w:cs="仿宋_GB2312"/>
          <w:b/>
          <w:color w:val="000000"/>
          <w:kern w:val="0"/>
          <w:sz w:val="32"/>
          <w:szCs w:val="32"/>
        </w:rPr>
        <w:t>（二）事业收入</w:t>
      </w:r>
      <w:r>
        <w:rPr>
          <w:rFonts w:hint="eastAsia" w:ascii="仿宋_GB2312" w:hAnsi="仿宋_GB2312" w:eastAsia="仿宋_GB2312" w:cs="仿宋_GB2312"/>
          <w:color w:val="000000"/>
          <w:kern w:val="0"/>
          <w:sz w:val="32"/>
          <w:szCs w:val="32"/>
        </w:rPr>
        <w:t xml:space="preserve">：指事业单位开展专业业务活动及辅助活动取得的收入。如：中国财政杂志社的刊物发行收入，中国注册会计师协会、中国资产评估协会、中国国债协会、中国会计学会收取的会费收入等。 </w:t>
      </w:r>
    </w:p>
    <w:p>
      <w:pPr>
        <w:widowControl/>
        <w:ind w:firstLine="643" w:firstLineChars="200"/>
        <w:jc w:val="left"/>
        <w:rPr>
          <w:rFonts w:ascii="仿宋_GB2312" w:eastAsia="仿宋_GB2312"/>
        </w:rPr>
      </w:pPr>
      <w:r>
        <w:rPr>
          <w:rFonts w:hint="eastAsia" w:ascii="仿宋_GB2312" w:hAnsi="仿宋_GB2312" w:eastAsia="仿宋_GB2312" w:cs="仿宋_GB2312"/>
          <w:b/>
          <w:color w:val="000000"/>
          <w:kern w:val="0"/>
          <w:sz w:val="32"/>
          <w:szCs w:val="32"/>
        </w:rPr>
        <w:t>（三）其他收入</w:t>
      </w:r>
      <w:r>
        <w:rPr>
          <w:rFonts w:hint="eastAsia" w:ascii="仿宋_GB2312" w:hAnsi="仿宋_GB2312" w:eastAsia="仿宋_GB2312" w:cs="仿宋_GB2312"/>
          <w:color w:val="000000"/>
          <w:kern w:val="0"/>
          <w:sz w:val="32"/>
          <w:szCs w:val="32"/>
        </w:rPr>
        <w:t xml:space="preserve">：指单位取得的除上述收入以外的各项收入。 主要是按规定动用的售房收入、存款利息收入等。 </w:t>
      </w:r>
    </w:p>
    <w:p>
      <w:pPr>
        <w:widowControl/>
        <w:ind w:firstLine="643" w:firstLineChars="200"/>
        <w:jc w:val="left"/>
        <w:rPr>
          <w:rFonts w:ascii="仿宋_GB2312" w:eastAsia="仿宋_GB2312"/>
        </w:rPr>
      </w:pPr>
      <w:r>
        <w:rPr>
          <w:rFonts w:hint="eastAsia" w:ascii="仿宋_GB2312" w:hAnsi="仿宋_GB2312" w:eastAsia="仿宋_GB2312" w:cs="仿宋_GB2312"/>
          <w:b/>
          <w:color w:val="000000"/>
          <w:kern w:val="0"/>
          <w:sz w:val="32"/>
          <w:szCs w:val="32"/>
        </w:rPr>
        <w:t>（四）用事业基金弥补收支差额</w:t>
      </w:r>
      <w:r>
        <w:rPr>
          <w:rFonts w:hint="eastAsia" w:ascii="仿宋_GB2312" w:hAnsi="仿宋_GB2312" w:eastAsia="仿宋_GB2312" w:cs="仿宋_GB2312"/>
          <w:color w:val="000000"/>
          <w:kern w:val="0"/>
          <w:sz w:val="32"/>
          <w:szCs w:val="32"/>
        </w:rPr>
        <w:t xml:space="preserve">：指事业单位在当年的财政拨款收入、事业收入、其他收入不足以安排当年支出的情况下，使用以前年度积累的事业基金（事业单位当年收支相抵后按国家规定提取、用于弥补以后年度收支差额的基金）弥补本年度收支缺口的资金。 </w:t>
      </w:r>
    </w:p>
    <w:p>
      <w:pPr>
        <w:widowControl/>
        <w:ind w:firstLine="643"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b/>
          <w:color w:val="000000"/>
          <w:kern w:val="0"/>
          <w:sz w:val="32"/>
          <w:szCs w:val="32"/>
        </w:rPr>
        <w:t>（五）年初结转和结余</w:t>
      </w:r>
      <w:r>
        <w:rPr>
          <w:rFonts w:hint="eastAsia" w:ascii="仿宋_GB2312" w:hAnsi="仿宋_GB2312" w:eastAsia="仿宋_GB2312" w:cs="仿宋_GB2312"/>
          <w:color w:val="000000"/>
          <w:kern w:val="0"/>
          <w:sz w:val="32"/>
          <w:szCs w:val="32"/>
        </w:rPr>
        <w:t>：指单位以前年度尚未完成、结转到本年按有关规定继续使用的资金。</w:t>
      </w:r>
    </w:p>
    <w:p>
      <w:pPr>
        <w:widowControl/>
        <w:ind w:firstLine="643" w:firstLineChars="200"/>
        <w:jc w:val="left"/>
        <w:rPr>
          <w:rFonts w:ascii="仿宋_GB2312" w:eastAsia="仿宋_GB2312"/>
        </w:rPr>
      </w:pPr>
      <w:r>
        <w:rPr>
          <w:rFonts w:hint="eastAsia" w:ascii="仿宋_GB2312" w:hAnsi="仿宋_GB2312" w:eastAsia="仿宋_GB2312" w:cs="仿宋_GB2312"/>
          <w:b/>
          <w:color w:val="000000"/>
          <w:kern w:val="0"/>
          <w:sz w:val="32"/>
          <w:szCs w:val="32"/>
        </w:rPr>
        <w:t>（六）结余分配：</w:t>
      </w:r>
      <w:r>
        <w:rPr>
          <w:rFonts w:hint="eastAsia" w:ascii="仿宋_GB2312" w:hAnsi="仿宋_GB2312" w:eastAsia="仿宋_GB2312" w:cs="仿宋_GB2312"/>
          <w:color w:val="000000"/>
          <w:kern w:val="0"/>
          <w:sz w:val="32"/>
          <w:szCs w:val="32"/>
        </w:rPr>
        <w:t xml:space="preserve">指事业单位按照会计制度规定缴纳的所得税以及从非财政补助结余中提取的职工福利基金、事业基金等。 </w:t>
      </w:r>
    </w:p>
    <w:p>
      <w:pPr>
        <w:widowControl/>
        <w:ind w:firstLine="643" w:firstLineChars="200"/>
        <w:jc w:val="left"/>
        <w:rPr>
          <w:rFonts w:ascii="仿宋_GB2312" w:eastAsia="仿宋_GB2312"/>
        </w:rPr>
      </w:pPr>
      <w:r>
        <w:rPr>
          <w:rFonts w:hint="eastAsia" w:ascii="仿宋_GB2312" w:hAnsi="仿宋_GB2312" w:eastAsia="仿宋_GB2312" w:cs="仿宋_GB2312"/>
          <w:b/>
          <w:color w:val="000000"/>
          <w:kern w:val="0"/>
          <w:sz w:val="32"/>
          <w:szCs w:val="32"/>
        </w:rPr>
        <w:t>（七）年末结转和结余</w:t>
      </w:r>
      <w:r>
        <w:rPr>
          <w:rFonts w:hint="eastAsia" w:ascii="仿宋_GB2312" w:hAnsi="仿宋_GB2312" w:eastAsia="仿宋_GB2312" w:cs="仿宋_GB2312"/>
          <w:color w:val="000000"/>
          <w:kern w:val="0"/>
          <w:sz w:val="32"/>
          <w:szCs w:val="32"/>
        </w:rPr>
        <w:t xml:space="preserve">：指单位按有关规定结转到下年或以后年度继续使用的资金。 </w:t>
      </w:r>
    </w:p>
    <w:p>
      <w:pPr>
        <w:widowControl/>
        <w:ind w:firstLine="643" w:firstLineChars="200"/>
        <w:jc w:val="left"/>
        <w:rPr>
          <w:rFonts w:ascii="仿宋_GB2312" w:eastAsia="仿宋_GB2312"/>
        </w:rPr>
      </w:pPr>
      <w:r>
        <w:rPr>
          <w:rFonts w:hint="eastAsia" w:ascii="仿宋_GB2312" w:hAnsi="仿宋_GB2312" w:eastAsia="仿宋_GB2312" w:cs="仿宋_GB2312"/>
          <w:b/>
          <w:color w:val="000000"/>
          <w:kern w:val="0"/>
          <w:sz w:val="32"/>
          <w:szCs w:val="32"/>
        </w:rPr>
        <w:t>（八）基本支出</w:t>
      </w:r>
      <w:r>
        <w:rPr>
          <w:rFonts w:hint="eastAsia" w:ascii="仿宋_GB2312" w:hAnsi="仿宋_GB2312" w:eastAsia="仿宋_GB2312" w:cs="仿宋_GB2312"/>
          <w:color w:val="000000"/>
          <w:kern w:val="0"/>
          <w:sz w:val="32"/>
          <w:szCs w:val="32"/>
        </w:rPr>
        <w:t xml:space="preserve">：指单位为保障其机构正常运转、完成日常工作任务而发生的人员支出和公用支出。 </w:t>
      </w:r>
    </w:p>
    <w:p>
      <w:pPr>
        <w:widowControl/>
        <w:ind w:firstLine="643" w:firstLineChars="200"/>
        <w:jc w:val="left"/>
        <w:rPr>
          <w:rFonts w:ascii="仿宋_GB2312" w:eastAsia="仿宋_GB2312"/>
        </w:rPr>
      </w:pPr>
      <w:r>
        <w:rPr>
          <w:rFonts w:hint="eastAsia" w:ascii="仿宋_GB2312" w:hAnsi="仿宋_GB2312" w:eastAsia="仿宋_GB2312" w:cs="仿宋_GB2312"/>
          <w:b/>
          <w:color w:val="000000"/>
          <w:kern w:val="0"/>
          <w:sz w:val="32"/>
          <w:szCs w:val="32"/>
        </w:rPr>
        <w:t>（九）“三公”经费</w:t>
      </w:r>
      <w:r>
        <w:rPr>
          <w:rFonts w:hint="eastAsia" w:ascii="仿宋_GB2312" w:hAnsi="仿宋_GB2312" w:eastAsia="仿宋_GB2312" w:cs="仿宋_GB2312"/>
          <w:color w:val="000000"/>
          <w:kern w:val="0"/>
          <w:sz w:val="32"/>
          <w:szCs w:val="32"/>
        </w:rPr>
        <w:t xml:space="preserve">：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 </w:t>
      </w:r>
    </w:p>
    <w:p>
      <w:pPr>
        <w:widowControl/>
        <w:ind w:firstLine="643" w:firstLineChars="200"/>
        <w:jc w:val="left"/>
        <w:rPr>
          <w:rFonts w:ascii="仿宋_GB2312" w:eastAsia="仿宋_GB2312"/>
        </w:rPr>
      </w:pPr>
      <w:r>
        <w:rPr>
          <w:rFonts w:hint="eastAsia" w:ascii="仿宋_GB2312" w:hAnsi="仿宋_GB2312" w:eastAsia="仿宋_GB2312" w:cs="仿宋_GB2312"/>
          <w:b/>
          <w:color w:val="000000"/>
          <w:kern w:val="0"/>
          <w:sz w:val="32"/>
          <w:szCs w:val="32"/>
        </w:rPr>
        <w:t>（十）机关运行经费</w:t>
      </w:r>
      <w:r>
        <w:rPr>
          <w:rFonts w:hint="eastAsia" w:ascii="仿宋_GB2312" w:hAnsi="仿宋_GB2312" w:eastAsia="仿宋_GB2312" w:cs="仿宋_GB2312"/>
          <w:color w:val="000000"/>
          <w:kern w:val="0"/>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jc w:val="left"/>
        <w:rPr>
          <w:rFonts w:ascii="仿宋_GB2312" w:hAnsi="仿宋" w:eastAsia="仿宋_GB2312"/>
          <w:sz w:val="32"/>
          <w:szCs w:val="32"/>
        </w:rPr>
      </w:pPr>
      <w:r>
        <w:rPr>
          <w:rFonts w:hint="eastAsia" w:ascii="仿宋_GB2312" w:hAnsi="仿宋" w:eastAsia="仿宋_GB2312"/>
          <w:sz w:val="32"/>
          <w:szCs w:val="32"/>
        </w:rPr>
        <w:br w:type="page"/>
      </w:r>
    </w:p>
    <w:p>
      <w:pPr>
        <w:spacing w:line="1400" w:lineRule="exact"/>
        <w:rPr>
          <w:rFonts w:ascii="仿宋_GB2312" w:hAnsi="仿宋" w:eastAsia="仿宋_GB2312"/>
          <w:sz w:val="32"/>
          <w:szCs w:val="32"/>
        </w:rPr>
      </w:pPr>
    </w:p>
    <w:p>
      <w:pPr>
        <w:spacing w:line="1400" w:lineRule="exact"/>
        <w:rPr>
          <w:rFonts w:ascii="仿宋_GB2312" w:hAnsi="仿宋" w:eastAsia="仿宋_GB2312"/>
          <w:sz w:val="32"/>
          <w:szCs w:val="32"/>
        </w:rPr>
      </w:pPr>
    </w:p>
    <w:p>
      <w:pPr>
        <w:numPr>
          <w:ilvl w:val="0"/>
          <w:numId w:val="1"/>
        </w:numPr>
        <w:spacing w:line="1400" w:lineRule="exact"/>
        <w:jc w:val="center"/>
        <w:rPr>
          <w:rFonts w:ascii="黑体" w:hAnsi="黑体" w:eastAsia="黑体"/>
          <w:b/>
          <w:sz w:val="84"/>
          <w:szCs w:val="84"/>
        </w:rPr>
      </w:pPr>
      <w:r>
        <w:rPr>
          <w:rFonts w:hint="eastAsia" w:ascii="黑体" w:hAnsi="黑体" w:eastAsia="黑体"/>
          <w:b/>
          <w:sz w:val="84"/>
          <w:szCs w:val="84"/>
        </w:rPr>
        <w:t>附件</w:t>
      </w:r>
    </w:p>
    <w:p>
      <w:pPr>
        <w:spacing w:line="1400" w:lineRule="exact"/>
        <w:jc w:val="center"/>
        <w:rPr>
          <w:rFonts w:ascii="黑体" w:hAnsi="黑体" w:eastAsia="黑体"/>
          <w:b/>
          <w:sz w:val="84"/>
          <w:szCs w:val="84"/>
        </w:rPr>
      </w:pPr>
      <w:r>
        <w:rPr>
          <w:rFonts w:hint="eastAsia" w:ascii="黑体" w:hAnsi="黑体" w:eastAsia="黑体"/>
          <w:b/>
          <w:sz w:val="84"/>
          <w:szCs w:val="84"/>
        </w:rPr>
        <w:t>2018年度部门整体支出绩效自评报告</w:t>
      </w:r>
    </w:p>
    <w:p>
      <w:pPr>
        <w:widowControl/>
        <w:shd w:val="clear" w:color="auto" w:fill="FFFFFF"/>
        <w:spacing w:line="520" w:lineRule="exact"/>
        <w:jc w:val="center"/>
        <w:rPr>
          <w:rFonts w:ascii="黑体" w:hAnsi="黑体" w:eastAsia="黑体"/>
          <w:b/>
          <w:bCs/>
          <w:color w:val="666666"/>
          <w:w w:val="90"/>
          <w:kern w:val="0"/>
          <w:sz w:val="44"/>
          <w:szCs w:val="44"/>
        </w:rPr>
      </w:pPr>
      <w:r>
        <w:rPr>
          <w:rFonts w:hint="eastAsia" w:ascii="黑体" w:hAnsi="仿宋" w:eastAsia="黑体"/>
          <w:sz w:val="32"/>
          <w:szCs w:val="32"/>
        </w:rPr>
        <w:br w:type="page"/>
      </w:r>
      <w:r>
        <w:rPr>
          <w:rFonts w:hint="eastAsia" w:ascii="黑体" w:hAnsi="黑体" w:eastAsia="黑体" w:cs="黑体"/>
          <w:b/>
          <w:bCs/>
          <w:color w:val="222222"/>
          <w:w w:val="90"/>
          <w:kern w:val="0"/>
          <w:sz w:val="44"/>
          <w:szCs w:val="44"/>
        </w:rPr>
        <w:t>东安县机关事务服务中心</w:t>
      </w:r>
      <w:r>
        <w:rPr>
          <w:rFonts w:ascii="黑体" w:hAnsi="黑体" w:eastAsia="黑体" w:cs="黑体"/>
          <w:b/>
          <w:bCs/>
          <w:color w:val="222222"/>
          <w:w w:val="90"/>
          <w:kern w:val="0"/>
          <w:sz w:val="44"/>
          <w:szCs w:val="44"/>
        </w:rPr>
        <w:t>2018</w:t>
      </w:r>
      <w:r>
        <w:rPr>
          <w:rFonts w:hint="eastAsia" w:ascii="黑体" w:hAnsi="黑体" w:eastAsia="黑体" w:cs="黑体"/>
          <w:b/>
          <w:bCs/>
          <w:color w:val="222222"/>
          <w:w w:val="90"/>
          <w:kern w:val="0"/>
          <w:sz w:val="44"/>
          <w:szCs w:val="44"/>
        </w:rPr>
        <w:t>年部门整体支出绩效评价报告</w:t>
      </w:r>
    </w:p>
    <w:p>
      <w:pPr>
        <w:widowControl/>
        <w:shd w:val="clear" w:color="auto" w:fill="FFFFFF"/>
        <w:spacing w:line="520" w:lineRule="exact"/>
        <w:jc w:val="left"/>
        <w:rPr>
          <w:rFonts w:ascii="宋体"/>
          <w:b/>
          <w:bCs/>
          <w:color w:val="666666"/>
          <w:kern w:val="0"/>
          <w:sz w:val="36"/>
          <w:szCs w:val="36"/>
        </w:rPr>
      </w:pPr>
    </w:p>
    <w:p>
      <w:pPr>
        <w:widowControl/>
        <w:shd w:val="clear" w:color="auto" w:fill="FFFFFF"/>
        <w:autoSpaceDE w:val="0"/>
        <w:spacing w:line="520" w:lineRule="exact"/>
        <w:ind w:firstLine="640" w:firstLineChars="200"/>
        <w:jc w:val="left"/>
        <w:rPr>
          <w:rFonts w:ascii="仿宋_GB2312" w:hAnsi="黑体" w:eastAsia="仿宋_GB2312"/>
          <w:color w:val="222222"/>
          <w:kern w:val="0"/>
          <w:sz w:val="32"/>
          <w:szCs w:val="32"/>
        </w:rPr>
      </w:pPr>
      <w:r>
        <w:rPr>
          <w:rFonts w:hint="eastAsia" w:ascii="仿宋_GB2312" w:hAnsi="黑体" w:eastAsia="仿宋_GB2312" w:cs="仿宋_GB2312"/>
          <w:color w:val="222222"/>
          <w:kern w:val="0"/>
          <w:sz w:val="32"/>
          <w:szCs w:val="32"/>
        </w:rPr>
        <w:t>为进一步规范财政资金管理，牢固树立预算绩效理念，强化支出责任，提高财政资金使用效益，根据县财政局的安排，我中心对</w:t>
      </w:r>
      <w:r>
        <w:rPr>
          <w:rFonts w:ascii="仿宋_GB2312" w:hAnsi="黑体" w:eastAsia="仿宋_GB2312" w:cs="仿宋_GB2312"/>
          <w:color w:val="222222"/>
          <w:kern w:val="0"/>
          <w:sz w:val="32"/>
          <w:szCs w:val="32"/>
        </w:rPr>
        <w:t>2018</w:t>
      </w:r>
      <w:r>
        <w:rPr>
          <w:rFonts w:hint="eastAsia" w:ascii="仿宋_GB2312" w:hAnsi="黑体" w:eastAsia="仿宋_GB2312" w:cs="仿宋_GB2312"/>
          <w:color w:val="222222"/>
          <w:kern w:val="0"/>
          <w:sz w:val="32"/>
          <w:szCs w:val="32"/>
        </w:rPr>
        <w:t>年部门整体支出进行了绩效评价，现将有关情况报告如下：</w:t>
      </w:r>
    </w:p>
    <w:p>
      <w:pPr>
        <w:widowControl/>
        <w:shd w:val="clear" w:color="auto" w:fill="FFFFFF"/>
        <w:autoSpaceDE w:val="0"/>
        <w:spacing w:line="520" w:lineRule="exact"/>
        <w:ind w:firstLine="643" w:firstLineChars="200"/>
        <w:jc w:val="left"/>
        <w:rPr>
          <w:rFonts w:ascii="黑体" w:hAnsi="黑体" w:eastAsia="黑体"/>
          <w:b/>
          <w:bCs/>
          <w:color w:val="666666"/>
          <w:kern w:val="0"/>
          <w:sz w:val="24"/>
          <w:szCs w:val="24"/>
        </w:rPr>
      </w:pPr>
      <w:r>
        <w:rPr>
          <w:rFonts w:hint="eastAsia" w:ascii="黑体" w:hAnsi="黑体" w:eastAsia="黑体" w:cs="黑体"/>
          <w:b/>
          <w:bCs/>
          <w:color w:val="222222"/>
          <w:kern w:val="0"/>
          <w:sz w:val="32"/>
          <w:szCs w:val="32"/>
        </w:rPr>
        <w:t>一、部门概况</w:t>
      </w:r>
    </w:p>
    <w:p>
      <w:pPr>
        <w:spacing w:line="520" w:lineRule="exact"/>
        <w:ind w:left="160" w:leftChars="76" w:firstLine="498" w:firstLineChars="155"/>
        <w:rPr>
          <w:rFonts w:ascii="宋体"/>
          <w:b/>
          <w:bCs/>
          <w:sz w:val="32"/>
          <w:szCs w:val="32"/>
        </w:rPr>
      </w:pPr>
      <w:r>
        <w:rPr>
          <w:rFonts w:hint="eastAsia" w:ascii="宋体" w:hAnsi="宋体" w:cs="宋体"/>
          <w:b/>
          <w:bCs/>
          <w:sz w:val="32"/>
          <w:szCs w:val="32"/>
        </w:rPr>
        <w:t>（一）部门基本情况</w:t>
      </w:r>
    </w:p>
    <w:p>
      <w:pPr>
        <w:spacing w:line="520" w:lineRule="exact"/>
        <w:ind w:left="160" w:leftChars="76" w:firstLine="496" w:firstLineChars="155"/>
        <w:rPr>
          <w:rFonts w:ascii="宋体"/>
          <w:sz w:val="32"/>
          <w:szCs w:val="32"/>
        </w:rPr>
      </w:pPr>
      <w:r>
        <w:rPr>
          <w:rFonts w:ascii="宋体" w:hAnsi="宋体" w:cs="宋体"/>
          <w:sz w:val="32"/>
          <w:szCs w:val="32"/>
        </w:rPr>
        <w:t>1</w:t>
      </w:r>
      <w:r>
        <w:rPr>
          <w:rFonts w:hint="eastAsia" w:ascii="宋体" w:hAnsi="宋体" w:cs="宋体"/>
          <w:sz w:val="32"/>
          <w:szCs w:val="32"/>
        </w:rPr>
        <w:t>、单位机构、人员情况</w:t>
      </w:r>
    </w:p>
    <w:p>
      <w:pPr>
        <w:spacing w:line="520" w:lineRule="exact"/>
        <w:ind w:firstLine="640" w:firstLineChars="200"/>
        <w:rPr>
          <w:rFonts w:ascii="仿宋_GB2312" w:hAnsi="仿宋" w:eastAsia="仿宋_GB2312"/>
          <w:sz w:val="32"/>
          <w:szCs w:val="32"/>
        </w:rPr>
      </w:pPr>
      <w:r>
        <w:rPr>
          <w:rFonts w:hint="eastAsia" w:ascii="仿宋_GB2312" w:eastAsia="仿宋_GB2312" w:cs="仿宋_GB2312"/>
          <w:sz w:val="32"/>
          <w:szCs w:val="32"/>
        </w:rPr>
        <w:t>机关事务服务中心内设机构分为：</w:t>
      </w:r>
      <w:r>
        <w:rPr>
          <w:rFonts w:hint="eastAsia" w:eastAsia="仿宋"/>
          <w:bCs/>
          <w:sz w:val="32"/>
          <w:szCs w:val="32"/>
        </w:rPr>
        <w:t>办公室、水电动力股、安全保卫股、综合服务股，归口管理人民公园管理所、党政公务用车服务中心。</w:t>
      </w:r>
      <w:r>
        <w:rPr>
          <w:rFonts w:hint="eastAsia" w:ascii="仿宋_GB2312" w:hAnsi="仿宋" w:eastAsia="仿宋_GB2312" w:cs="仿宋_GB2312"/>
          <w:sz w:val="32"/>
          <w:szCs w:val="32"/>
        </w:rPr>
        <w:t>人员编制数17人，</w:t>
      </w:r>
      <w:r>
        <w:rPr>
          <w:rFonts w:ascii="仿宋_GB2312" w:hAnsi="仿宋" w:eastAsia="仿宋_GB2312" w:cs="仿宋_GB2312"/>
          <w:sz w:val="32"/>
          <w:szCs w:val="32"/>
        </w:rPr>
        <w:t>2018</w:t>
      </w:r>
      <w:r>
        <w:rPr>
          <w:rFonts w:hint="eastAsia" w:ascii="仿宋_GB2312" w:hAnsi="仿宋" w:eastAsia="仿宋_GB2312" w:cs="仿宋_GB2312"/>
          <w:sz w:val="32"/>
          <w:szCs w:val="32"/>
        </w:rPr>
        <w:t>年末实有在职干部职工</w:t>
      </w:r>
      <w:r>
        <w:rPr>
          <w:rFonts w:ascii="仿宋_GB2312" w:hAnsi="仿宋" w:eastAsia="仿宋_GB2312" w:cs="仿宋_GB2312"/>
          <w:sz w:val="32"/>
          <w:szCs w:val="32"/>
        </w:rPr>
        <w:t>14</w:t>
      </w:r>
      <w:r>
        <w:rPr>
          <w:rFonts w:hint="eastAsia" w:ascii="仿宋_GB2312" w:hAnsi="仿宋" w:eastAsia="仿宋_GB2312" w:cs="仿宋_GB2312"/>
          <w:sz w:val="32"/>
          <w:szCs w:val="32"/>
        </w:rPr>
        <w:t>人，退休人员</w:t>
      </w:r>
      <w:r>
        <w:rPr>
          <w:rFonts w:ascii="仿宋_GB2312" w:hAnsi="仿宋" w:eastAsia="仿宋_GB2312" w:cs="仿宋_GB2312"/>
          <w:sz w:val="32"/>
          <w:szCs w:val="32"/>
        </w:rPr>
        <w:t>1</w:t>
      </w:r>
      <w:r>
        <w:rPr>
          <w:rFonts w:hint="eastAsia" w:ascii="仿宋_GB2312" w:hAnsi="仿宋" w:eastAsia="仿宋_GB2312" w:cs="仿宋_GB2312"/>
          <w:sz w:val="32"/>
          <w:szCs w:val="32"/>
        </w:rPr>
        <w:t>人，遗属抚养人员</w:t>
      </w:r>
      <w:r>
        <w:rPr>
          <w:rFonts w:ascii="仿宋_GB2312" w:hAnsi="仿宋" w:eastAsia="仿宋_GB2312" w:cs="仿宋_GB2312"/>
          <w:sz w:val="32"/>
          <w:szCs w:val="32"/>
        </w:rPr>
        <w:t>0</w:t>
      </w:r>
      <w:r>
        <w:rPr>
          <w:rFonts w:hint="eastAsia" w:ascii="仿宋_GB2312" w:hAnsi="仿宋" w:eastAsia="仿宋_GB2312" w:cs="仿宋_GB2312"/>
          <w:sz w:val="32"/>
          <w:szCs w:val="32"/>
        </w:rPr>
        <w:t>人。</w:t>
      </w:r>
    </w:p>
    <w:p>
      <w:pPr>
        <w:spacing w:line="520" w:lineRule="exact"/>
        <w:ind w:left="160" w:leftChars="76" w:firstLine="496" w:firstLineChars="155"/>
        <w:rPr>
          <w:rFonts w:ascii="宋体"/>
          <w:sz w:val="32"/>
          <w:szCs w:val="32"/>
        </w:rPr>
      </w:pPr>
      <w:r>
        <w:rPr>
          <w:rFonts w:ascii="宋体" w:hAnsi="宋体" w:cs="宋体"/>
          <w:sz w:val="32"/>
          <w:szCs w:val="32"/>
        </w:rPr>
        <w:t>2</w:t>
      </w:r>
      <w:r>
        <w:rPr>
          <w:rFonts w:hint="eastAsia" w:ascii="宋体" w:hAnsi="宋体" w:cs="宋体"/>
          <w:sz w:val="32"/>
          <w:szCs w:val="32"/>
        </w:rPr>
        <w:t>、主要职责</w:t>
      </w:r>
    </w:p>
    <w:p>
      <w:pPr>
        <w:spacing w:line="520" w:lineRule="exact"/>
        <w:ind w:firstLine="640" w:firstLineChars="200"/>
        <w:rPr>
          <w:rFonts w:ascii="仿宋_GB2312" w:eastAsia="仿宋_GB2312"/>
          <w:sz w:val="32"/>
          <w:szCs w:val="32"/>
        </w:rPr>
      </w:pPr>
      <w:r>
        <w:rPr>
          <w:rFonts w:hint="eastAsia" w:eastAsia="仿宋"/>
          <w:sz w:val="32"/>
          <w:szCs w:val="32"/>
        </w:rPr>
        <w:t>负责机关大院的正常供水、供电及安全监督检查和服务工作；负责机关大院的基建、绿化、美化、环境保护的规划及组织实施工作和机关公共卫生管理工作；负责四大家全县性会议的经费预结算、会议服务、机关大会议室和会展中心的服务管理工作；</w:t>
      </w:r>
      <w:r>
        <w:rPr>
          <w:rFonts w:hint="eastAsia" w:ascii="仿宋_GB2312" w:eastAsia="仿宋_GB2312" w:cs="仿宋_GB2312"/>
          <w:sz w:val="32"/>
          <w:szCs w:val="32"/>
        </w:rPr>
        <w:t>办理县委和县政府交办的其他工作事项。</w:t>
      </w:r>
    </w:p>
    <w:p>
      <w:pPr>
        <w:spacing w:line="520" w:lineRule="exact"/>
        <w:ind w:firstLine="630" w:firstLineChars="196"/>
        <w:rPr>
          <w:rFonts w:ascii="宋体"/>
          <w:b/>
          <w:bCs/>
          <w:sz w:val="32"/>
          <w:szCs w:val="32"/>
        </w:rPr>
      </w:pPr>
      <w:r>
        <w:rPr>
          <w:rFonts w:hint="eastAsia" w:ascii="宋体" w:hAnsi="宋体" w:cs="宋体"/>
          <w:b/>
          <w:bCs/>
          <w:sz w:val="32"/>
          <w:szCs w:val="32"/>
        </w:rPr>
        <w:t>（二）部门整体支出规模、使用方向和主要内容、涉及范围</w:t>
      </w:r>
    </w:p>
    <w:p>
      <w:pPr>
        <w:spacing w:line="520" w:lineRule="exact"/>
        <w:ind w:firstLine="627" w:firstLineChars="196"/>
        <w:rPr>
          <w:rFonts w:ascii="仿宋" w:hAnsi="仿宋" w:eastAsia="仿宋"/>
          <w:sz w:val="32"/>
          <w:szCs w:val="32"/>
        </w:rPr>
      </w:pPr>
      <w:r>
        <w:rPr>
          <w:rFonts w:ascii="仿宋" w:hAnsi="仿宋" w:eastAsia="仿宋" w:cs="仿宋"/>
          <w:sz w:val="32"/>
          <w:szCs w:val="32"/>
        </w:rPr>
        <w:t>1</w:t>
      </w:r>
      <w:r>
        <w:rPr>
          <w:rFonts w:hint="eastAsia" w:ascii="仿宋" w:hAnsi="仿宋" w:eastAsia="仿宋" w:cs="仿宋"/>
          <w:sz w:val="32"/>
          <w:szCs w:val="32"/>
        </w:rPr>
        <w:t>、部门整体支出规模</w:t>
      </w:r>
    </w:p>
    <w:p>
      <w:pPr>
        <w:spacing w:line="520" w:lineRule="exact"/>
        <w:ind w:firstLine="800" w:firstLineChars="250"/>
        <w:rPr>
          <w:rFonts w:ascii="仿宋_GB2312" w:hAnsi="仿宋" w:eastAsia="仿宋_GB2312"/>
          <w:sz w:val="32"/>
          <w:szCs w:val="32"/>
        </w:rPr>
      </w:pPr>
      <w:r>
        <w:rPr>
          <w:rFonts w:ascii="仿宋_GB2312" w:hAnsi="仿宋" w:eastAsia="仿宋_GB2312" w:cs="仿宋_GB2312"/>
          <w:sz w:val="32"/>
          <w:szCs w:val="32"/>
        </w:rPr>
        <w:t>2018</w:t>
      </w:r>
      <w:r>
        <w:rPr>
          <w:rFonts w:hint="eastAsia" w:ascii="仿宋_GB2312" w:hAnsi="仿宋" w:eastAsia="仿宋_GB2312" w:cs="仿宋_GB2312"/>
          <w:sz w:val="32"/>
          <w:szCs w:val="32"/>
        </w:rPr>
        <w:t>年收入总决算</w:t>
      </w:r>
      <w:r>
        <w:rPr>
          <w:rFonts w:ascii="仿宋_GB2312" w:hAnsi="仿宋" w:eastAsia="仿宋_GB2312" w:cs="仿宋_GB2312"/>
          <w:sz w:val="32"/>
          <w:szCs w:val="32"/>
        </w:rPr>
        <w:t>273</w:t>
      </w:r>
      <w:r>
        <w:rPr>
          <w:rFonts w:hint="eastAsia" w:ascii="仿宋_GB2312" w:hAnsi="仿宋" w:eastAsia="仿宋_GB2312" w:cs="仿宋_GB2312"/>
          <w:sz w:val="32"/>
          <w:szCs w:val="32"/>
        </w:rPr>
        <w:t>万元，其中：当年财政拨款收入</w:t>
      </w:r>
      <w:r>
        <w:rPr>
          <w:rFonts w:ascii="仿宋_GB2312" w:hAnsi="仿宋" w:eastAsia="仿宋_GB2312" w:cs="仿宋_GB2312"/>
          <w:sz w:val="32"/>
          <w:szCs w:val="32"/>
        </w:rPr>
        <w:t>273</w:t>
      </w:r>
      <w:r>
        <w:rPr>
          <w:rFonts w:hint="eastAsia" w:ascii="仿宋_GB2312" w:hAnsi="仿宋" w:eastAsia="仿宋_GB2312" w:cs="仿宋_GB2312"/>
          <w:sz w:val="32"/>
          <w:szCs w:val="32"/>
        </w:rPr>
        <w:t>万元。</w:t>
      </w:r>
      <w:r>
        <w:rPr>
          <w:rFonts w:ascii="仿宋_GB2312" w:hAnsi="仿宋" w:eastAsia="仿宋_GB2312" w:cs="仿宋_GB2312"/>
          <w:sz w:val="32"/>
          <w:szCs w:val="32"/>
        </w:rPr>
        <w:t>2018</w:t>
      </w:r>
      <w:r>
        <w:rPr>
          <w:rFonts w:hint="eastAsia" w:ascii="仿宋_GB2312" w:hAnsi="仿宋" w:eastAsia="仿宋_GB2312" w:cs="仿宋_GB2312"/>
          <w:sz w:val="32"/>
          <w:szCs w:val="32"/>
        </w:rPr>
        <w:t>年支出总决算</w:t>
      </w:r>
      <w:r>
        <w:rPr>
          <w:rFonts w:ascii="仿宋_GB2312" w:hAnsi="仿宋" w:eastAsia="仿宋_GB2312" w:cs="仿宋_GB2312"/>
          <w:sz w:val="32"/>
          <w:szCs w:val="32"/>
        </w:rPr>
        <w:t>273</w:t>
      </w:r>
      <w:r>
        <w:rPr>
          <w:rFonts w:hint="eastAsia" w:ascii="仿宋_GB2312" w:hAnsi="仿宋" w:eastAsia="仿宋_GB2312" w:cs="仿宋_GB2312"/>
          <w:sz w:val="32"/>
          <w:szCs w:val="32"/>
        </w:rPr>
        <w:t>万元，其中：财政拨款支出</w:t>
      </w:r>
      <w:r>
        <w:rPr>
          <w:rFonts w:ascii="仿宋_GB2312" w:hAnsi="仿宋" w:eastAsia="仿宋_GB2312" w:cs="仿宋_GB2312"/>
          <w:sz w:val="32"/>
          <w:szCs w:val="32"/>
        </w:rPr>
        <w:t>273</w:t>
      </w:r>
      <w:r>
        <w:rPr>
          <w:rFonts w:hint="eastAsia" w:ascii="仿宋_GB2312" w:hAnsi="仿宋" w:eastAsia="仿宋_GB2312" w:cs="仿宋_GB2312"/>
          <w:sz w:val="32"/>
          <w:szCs w:val="32"/>
        </w:rPr>
        <w:t>万元。</w:t>
      </w:r>
    </w:p>
    <w:p>
      <w:pPr>
        <w:spacing w:line="520" w:lineRule="exact"/>
        <w:ind w:firstLine="627" w:firstLineChars="196"/>
        <w:rPr>
          <w:rFonts w:ascii="仿宋" w:hAnsi="仿宋" w:eastAsia="仿宋"/>
          <w:sz w:val="32"/>
          <w:szCs w:val="32"/>
        </w:rPr>
      </w:pPr>
      <w:r>
        <w:rPr>
          <w:rFonts w:ascii="仿宋" w:hAnsi="仿宋" w:eastAsia="仿宋" w:cs="仿宋"/>
          <w:sz w:val="32"/>
          <w:szCs w:val="32"/>
        </w:rPr>
        <w:t>2</w:t>
      </w:r>
      <w:r>
        <w:rPr>
          <w:rFonts w:hint="eastAsia" w:ascii="仿宋" w:hAnsi="仿宋" w:eastAsia="仿宋" w:cs="仿宋"/>
          <w:sz w:val="32"/>
          <w:szCs w:val="32"/>
        </w:rPr>
        <w:t>、整体支出使用范围、方向和内容</w:t>
      </w:r>
    </w:p>
    <w:p>
      <w:pPr>
        <w:spacing w:line="500" w:lineRule="exact"/>
        <w:ind w:left="160" w:leftChars="76" w:firstLine="496" w:firstLineChars="155"/>
        <w:rPr>
          <w:rFonts w:ascii="仿宋_GB2312" w:hAnsi="仿宋" w:eastAsia="仿宋_GB2312"/>
          <w:sz w:val="32"/>
          <w:szCs w:val="32"/>
        </w:rPr>
      </w:pPr>
      <w:r>
        <w:rPr>
          <w:rFonts w:ascii="仿宋_GB2312" w:hAnsi="仿宋" w:eastAsia="仿宋_GB2312" w:cs="仿宋_GB2312"/>
          <w:sz w:val="32"/>
          <w:szCs w:val="32"/>
        </w:rPr>
        <w:t>2018</w:t>
      </w:r>
      <w:r>
        <w:rPr>
          <w:rFonts w:hint="eastAsia" w:ascii="仿宋_GB2312" w:hAnsi="仿宋" w:eastAsia="仿宋_GB2312" w:cs="仿宋_GB2312"/>
          <w:sz w:val="32"/>
          <w:szCs w:val="32"/>
        </w:rPr>
        <w:t>年财政拨款支出按用途划分，基本支出</w:t>
      </w:r>
      <w:r>
        <w:rPr>
          <w:rFonts w:ascii="仿宋_GB2312" w:hAnsi="仿宋" w:eastAsia="仿宋_GB2312" w:cs="仿宋_GB2312"/>
          <w:sz w:val="32"/>
          <w:szCs w:val="32"/>
        </w:rPr>
        <w:t>175.8752</w:t>
      </w:r>
      <w:r>
        <w:rPr>
          <w:rFonts w:hint="eastAsia" w:ascii="仿宋_GB2312" w:hAnsi="仿宋" w:eastAsia="仿宋_GB2312" w:cs="仿宋_GB2312"/>
          <w:sz w:val="32"/>
          <w:szCs w:val="32"/>
        </w:rPr>
        <w:t>万元，其中：工资福利支出</w:t>
      </w:r>
      <w:r>
        <w:rPr>
          <w:rFonts w:ascii="仿宋_GB2312" w:hAnsi="仿宋" w:eastAsia="仿宋_GB2312" w:cs="仿宋_GB2312"/>
          <w:sz w:val="32"/>
          <w:szCs w:val="32"/>
        </w:rPr>
        <w:t>139.1282</w:t>
      </w:r>
      <w:r>
        <w:rPr>
          <w:rFonts w:hint="eastAsia" w:ascii="仿宋_GB2312" w:hAnsi="仿宋" w:eastAsia="仿宋_GB2312" w:cs="仿宋_GB2312"/>
          <w:sz w:val="32"/>
          <w:szCs w:val="32"/>
        </w:rPr>
        <w:t>万元，占总支出的</w:t>
      </w:r>
      <w:r>
        <w:rPr>
          <w:rFonts w:ascii="仿宋_GB2312" w:hAnsi="仿宋" w:eastAsia="仿宋_GB2312" w:cs="仿宋_GB2312"/>
          <w:sz w:val="32"/>
          <w:szCs w:val="32"/>
        </w:rPr>
        <w:t>79%</w:t>
      </w:r>
      <w:r>
        <w:rPr>
          <w:rFonts w:hint="eastAsia" w:ascii="仿宋_GB2312" w:hAnsi="仿宋" w:eastAsia="仿宋_GB2312" w:cs="仿宋_GB2312"/>
          <w:sz w:val="32"/>
          <w:szCs w:val="32"/>
        </w:rPr>
        <w:t>；一般商品和服务支出</w:t>
      </w:r>
      <w:r>
        <w:rPr>
          <w:rFonts w:ascii="仿宋_GB2312" w:hAnsi="仿宋" w:eastAsia="仿宋_GB2312" w:cs="仿宋_GB2312"/>
          <w:sz w:val="32"/>
          <w:szCs w:val="32"/>
        </w:rPr>
        <w:t>27.5649</w:t>
      </w:r>
      <w:r>
        <w:rPr>
          <w:rFonts w:hint="eastAsia" w:ascii="仿宋_GB2312" w:hAnsi="仿宋" w:eastAsia="仿宋_GB2312" w:cs="仿宋_GB2312"/>
          <w:sz w:val="32"/>
          <w:szCs w:val="32"/>
        </w:rPr>
        <w:t>万元，占总支出的</w:t>
      </w:r>
      <w:r>
        <w:rPr>
          <w:rFonts w:ascii="仿宋_GB2312" w:hAnsi="仿宋" w:eastAsia="仿宋_GB2312" w:cs="仿宋_GB2312"/>
          <w:sz w:val="32"/>
          <w:szCs w:val="32"/>
        </w:rPr>
        <w:t>16%</w:t>
      </w:r>
      <w:r>
        <w:rPr>
          <w:rFonts w:hint="eastAsia" w:ascii="仿宋_GB2312" w:hAnsi="仿宋" w:eastAsia="仿宋_GB2312" w:cs="仿宋_GB2312"/>
          <w:sz w:val="32"/>
          <w:szCs w:val="32"/>
        </w:rPr>
        <w:t>；对个人和家庭的补助支出</w:t>
      </w:r>
      <w:bookmarkStart w:id="0" w:name="_Hlk23762217"/>
      <w:r>
        <w:rPr>
          <w:rFonts w:ascii="仿宋_GB2312" w:hAnsi="仿宋" w:eastAsia="仿宋_GB2312" w:cs="仿宋_GB2312"/>
          <w:sz w:val="32"/>
          <w:szCs w:val="32"/>
        </w:rPr>
        <w:t>9.1821</w:t>
      </w:r>
      <w:bookmarkEnd w:id="0"/>
      <w:r>
        <w:rPr>
          <w:rFonts w:hint="eastAsia" w:ascii="仿宋_GB2312" w:hAnsi="仿宋" w:eastAsia="仿宋_GB2312" w:cs="仿宋_GB2312"/>
          <w:sz w:val="32"/>
          <w:szCs w:val="32"/>
        </w:rPr>
        <w:t>万元，占总支出的</w:t>
      </w:r>
      <w:r>
        <w:rPr>
          <w:rFonts w:ascii="仿宋_GB2312" w:hAnsi="仿宋" w:eastAsia="仿宋_GB2312" w:cs="仿宋_GB2312"/>
          <w:sz w:val="32"/>
          <w:szCs w:val="32"/>
        </w:rPr>
        <w:t>5%</w:t>
      </w:r>
      <w:r>
        <w:rPr>
          <w:rFonts w:hint="eastAsia" w:ascii="仿宋_GB2312" w:hAnsi="仿宋" w:eastAsia="仿宋_GB2312" w:cs="仿宋_GB2312"/>
          <w:sz w:val="32"/>
          <w:szCs w:val="32"/>
        </w:rPr>
        <w:t>；其他资本性支出</w:t>
      </w:r>
      <w:r>
        <w:rPr>
          <w:rFonts w:ascii="仿宋_GB2312" w:hAnsi="仿宋" w:eastAsia="仿宋_GB2312" w:cs="仿宋_GB2312"/>
          <w:sz w:val="32"/>
          <w:szCs w:val="32"/>
        </w:rPr>
        <w:t>0</w:t>
      </w:r>
      <w:r>
        <w:rPr>
          <w:rFonts w:hint="eastAsia" w:ascii="仿宋_GB2312" w:hAnsi="仿宋" w:eastAsia="仿宋_GB2312" w:cs="仿宋_GB2312"/>
          <w:sz w:val="32"/>
          <w:szCs w:val="32"/>
        </w:rPr>
        <w:t>万元，占总支出的</w:t>
      </w:r>
      <w:r>
        <w:rPr>
          <w:rFonts w:ascii="仿宋_GB2312" w:hAnsi="仿宋" w:eastAsia="仿宋_GB2312" w:cs="仿宋_GB2312"/>
          <w:sz w:val="32"/>
          <w:szCs w:val="32"/>
        </w:rPr>
        <w:t>0%</w:t>
      </w:r>
      <w:r>
        <w:rPr>
          <w:rFonts w:hint="eastAsia" w:ascii="仿宋_GB2312" w:hAnsi="仿宋" w:eastAsia="仿宋_GB2312" w:cs="仿宋_GB2312"/>
          <w:sz w:val="32"/>
          <w:szCs w:val="32"/>
        </w:rPr>
        <w:t>。</w:t>
      </w:r>
    </w:p>
    <w:p>
      <w:pPr>
        <w:widowControl/>
        <w:shd w:val="clear" w:color="auto" w:fill="FFFFFF"/>
        <w:autoSpaceDE w:val="0"/>
        <w:spacing w:line="520" w:lineRule="exact"/>
        <w:ind w:firstLine="800" w:firstLineChars="249"/>
        <w:jc w:val="left"/>
        <w:rPr>
          <w:rFonts w:ascii="黑体" w:hAnsi="黑体" w:eastAsia="黑体"/>
          <w:b/>
          <w:bCs/>
          <w:color w:val="666666"/>
          <w:kern w:val="0"/>
          <w:sz w:val="24"/>
          <w:szCs w:val="24"/>
        </w:rPr>
      </w:pPr>
      <w:r>
        <w:rPr>
          <w:rFonts w:hint="eastAsia" w:ascii="黑体" w:hAnsi="黑体" w:eastAsia="黑体" w:cs="黑体"/>
          <w:b/>
          <w:bCs/>
          <w:color w:val="222222"/>
          <w:kern w:val="0"/>
          <w:sz w:val="32"/>
          <w:szCs w:val="32"/>
        </w:rPr>
        <w:t>二、整体支出使用情况</w:t>
      </w:r>
    </w:p>
    <w:p>
      <w:pPr>
        <w:widowControl/>
        <w:shd w:val="clear" w:color="auto" w:fill="FFFFFF"/>
        <w:autoSpaceDE w:val="0"/>
        <w:spacing w:line="520" w:lineRule="exact"/>
        <w:ind w:firstLine="643"/>
        <w:jc w:val="left"/>
        <w:rPr>
          <w:rFonts w:ascii="仿宋_GB2312" w:hAnsi="仿宋" w:eastAsia="仿宋_GB2312"/>
          <w:color w:val="666666"/>
          <w:kern w:val="0"/>
          <w:sz w:val="24"/>
          <w:szCs w:val="24"/>
        </w:rPr>
      </w:pPr>
      <w:r>
        <w:rPr>
          <w:rFonts w:hint="eastAsia" w:ascii="仿宋_GB2312" w:hAnsi="仿宋" w:eastAsia="仿宋_GB2312" w:cs="仿宋_GB2312"/>
          <w:color w:val="222222"/>
          <w:kern w:val="0"/>
          <w:sz w:val="32"/>
          <w:szCs w:val="32"/>
        </w:rPr>
        <w:t>（一）基本支出</w:t>
      </w:r>
    </w:p>
    <w:p>
      <w:pPr>
        <w:spacing w:line="520" w:lineRule="exact"/>
        <w:ind w:left="160" w:leftChars="76" w:firstLine="496" w:firstLineChars="155"/>
        <w:rPr>
          <w:rFonts w:ascii="仿宋_GB2312" w:hAnsi="仿宋" w:eastAsia="仿宋_GB2312"/>
          <w:sz w:val="32"/>
          <w:szCs w:val="32"/>
        </w:rPr>
      </w:pPr>
      <w:r>
        <w:rPr>
          <w:rFonts w:hint="eastAsia" w:ascii="仿宋_GB2312" w:hAnsi="仿宋" w:eastAsia="仿宋_GB2312" w:cs="仿宋_GB2312"/>
          <w:color w:val="222222"/>
          <w:kern w:val="0"/>
          <w:sz w:val="32"/>
          <w:szCs w:val="32"/>
        </w:rPr>
        <w:t>基本支出系保障我中心机构运转，完成日常工作任务而发生的各项支出，其范围和主要用途包括人员经费和日常公用经费。</w:t>
      </w:r>
      <w:r>
        <w:rPr>
          <w:rFonts w:ascii="仿宋_GB2312" w:hAnsi="仿宋" w:eastAsia="仿宋_GB2312" w:cs="仿宋_GB2312"/>
          <w:sz w:val="32"/>
          <w:szCs w:val="32"/>
        </w:rPr>
        <w:t>2018</w:t>
      </w:r>
      <w:r>
        <w:rPr>
          <w:rFonts w:hint="eastAsia" w:ascii="仿宋_GB2312" w:hAnsi="仿宋" w:eastAsia="仿宋_GB2312" w:cs="仿宋_GB2312"/>
          <w:sz w:val="32"/>
          <w:szCs w:val="32"/>
        </w:rPr>
        <w:t>年财政拨款支出按用途划分，基本支出</w:t>
      </w:r>
      <w:r>
        <w:rPr>
          <w:rFonts w:ascii="仿宋_GB2312" w:hAnsi="仿宋" w:eastAsia="仿宋_GB2312" w:cs="仿宋_GB2312"/>
          <w:sz w:val="32"/>
          <w:szCs w:val="32"/>
        </w:rPr>
        <w:t>175.8752</w:t>
      </w:r>
      <w:r>
        <w:rPr>
          <w:rFonts w:hint="eastAsia" w:ascii="仿宋_GB2312" w:hAnsi="仿宋" w:eastAsia="仿宋_GB2312" w:cs="仿宋_GB2312"/>
          <w:sz w:val="32"/>
          <w:szCs w:val="32"/>
        </w:rPr>
        <w:t>万元，其中：工资福利支出</w:t>
      </w:r>
      <w:r>
        <w:rPr>
          <w:rFonts w:ascii="仿宋_GB2312" w:hAnsi="仿宋" w:eastAsia="仿宋_GB2312" w:cs="仿宋_GB2312"/>
          <w:sz w:val="32"/>
          <w:szCs w:val="32"/>
        </w:rPr>
        <w:t>139.1282</w:t>
      </w:r>
      <w:r>
        <w:rPr>
          <w:rFonts w:hint="eastAsia" w:ascii="仿宋_GB2312" w:hAnsi="仿宋" w:eastAsia="仿宋_GB2312" w:cs="仿宋_GB2312"/>
          <w:sz w:val="32"/>
          <w:szCs w:val="32"/>
        </w:rPr>
        <w:t>万元，占总支出的</w:t>
      </w:r>
      <w:r>
        <w:rPr>
          <w:rFonts w:ascii="仿宋_GB2312" w:hAnsi="仿宋" w:eastAsia="仿宋_GB2312" w:cs="仿宋_GB2312"/>
          <w:sz w:val="32"/>
          <w:szCs w:val="32"/>
        </w:rPr>
        <w:t>79%</w:t>
      </w:r>
      <w:r>
        <w:rPr>
          <w:rFonts w:hint="eastAsia" w:ascii="仿宋_GB2312" w:hAnsi="仿宋" w:eastAsia="仿宋_GB2312" w:cs="仿宋_GB2312"/>
          <w:sz w:val="32"/>
          <w:szCs w:val="32"/>
        </w:rPr>
        <w:t>，主要是用于发放基本工资和津补贴；一般商品和服务支出</w:t>
      </w:r>
      <w:r>
        <w:rPr>
          <w:rFonts w:ascii="仿宋_GB2312" w:hAnsi="仿宋" w:eastAsia="仿宋_GB2312" w:cs="仿宋_GB2312"/>
          <w:sz w:val="32"/>
          <w:szCs w:val="32"/>
        </w:rPr>
        <w:t>27.5649</w:t>
      </w:r>
      <w:r>
        <w:rPr>
          <w:rFonts w:hint="eastAsia" w:ascii="仿宋_GB2312" w:hAnsi="仿宋" w:eastAsia="仿宋_GB2312" w:cs="仿宋_GB2312"/>
          <w:sz w:val="32"/>
          <w:szCs w:val="32"/>
        </w:rPr>
        <w:t>万元，占总支出的</w:t>
      </w:r>
      <w:r>
        <w:rPr>
          <w:rFonts w:ascii="仿宋_GB2312" w:hAnsi="仿宋" w:eastAsia="仿宋_GB2312" w:cs="仿宋_GB2312"/>
          <w:sz w:val="32"/>
          <w:szCs w:val="32"/>
        </w:rPr>
        <w:t>16%</w:t>
      </w:r>
      <w:r>
        <w:rPr>
          <w:rFonts w:hint="eastAsia" w:ascii="仿宋_GB2312" w:hAnsi="仿宋" w:eastAsia="仿宋_GB2312" w:cs="仿宋_GB2312"/>
          <w:sz w:val="32"/>
          <w:szCs w:val="32"/>
        </w:rPr>
        <w:t>，主要是用于办公、邮电、差旅、印刷、会议、培训、交通等费用；对个人和家庭的补助支出</w:t>
      </w:r>
      <w:r>
        <w:rPr>
          <w:rFonts w:ascii="仿宋_GB2312" w:hAnsi="仿宋" w:eastAsia="仿宋_GB2312" w:cs="仿宋_GB2312"/>
          <w:sz w:val="32"/>
          <w:szCs w:val="32"/>
        </w:rPr>
        <w:t>9.1821</w:t>
      </w:r>
      <w:r>
        <w:rPr>
          <w:rFonts w:hint="eastAsia" w:ascii="仿宋_GB2312" w:hAnsi="仿宋" w:eastAsia="仿宋_GB2312" w:cs="仿宋_GB2312"/>
          <w:sz w:val="32"/>
          <w:szCs w:val="32"/>
        </w:rPr>
        <w:t>万元，占总支出的</w:t>
      </w:r>
      <w:r>
        <w:rPr>
          <w:rFonts w:ascii="仿宋_GB2312" w:hAnsi="仿宋" w:eastAsia="仿宋_GB2312" w:cs="仿宋_GB2312"/>
          <w:sz w:val="32"/>
          <w:szCs w:val="32"/>
        </w:rPr>
        <w:t>5%</w:t>
      </w:r>
      <w:r>
        <w:rPr>
          <w:rFonts w:hint="eastAsia" w:ascii="仿宋_GB2312" w:hAnsi="仿宋" w:eastAsia="仿宋_GB2312" w:cs="仿宋_GB2312"/>
          <w:sz w:val="32"/>
          <w:szCs w:val="32"/>
        </w:rPr>
        <w:t>，主要用于退休、遗属抚养人员支出等。</w:t>
      </w:r>
    </w:p>
    <w:p>
      <w:pPr>
        <w:spacing w:line="520" w:lineRule="exact"/>
        <w:ind w:firstLine="640" w:firstLineChars="200"/>
        <w:rPr>
          <w:rFonts w:ascii="仿宋_GB2312" w:hAnsi="仿宋" w:eastAsia="仿宋_GB2312"/>
          <w:color w:val="666666"/>
          <w:kern w:val="0"/>
          <w:sz w:val="24"/>
          <w:szCs w:val="24"/>
        </w:rPr>
      </w:pPr>
      <w:r>
        <w:rPr>
          <w:rFonts w:hint="eastAsia" w:ascii="仿宋_GB2312" w:hAnsi="仿宋" w:eastAsia="仿宋_GB2312" w:cs="仿宋_GB2312"/>
          <w:color w:val="222222"/>
          <w:kern w:val="0"/>
          <w:sz w:val="32"/>
          <w:szCs w:val="32"/>
        </w:rPr>
        <w:t>“三公”经费使用情况：</w:t>
      </w:r>
    </w:p>
    <w:p>
      <w:pPr>
        <w:spacing w:line="520" w:lineRule="exact"/>
        <w:ind w:firstLine="640" w:firstLineChars="200"/>
        <w:rPr>
          <w:rFonts w:ascii="仿宋_GB2312" w:hAnsi="仿宋" w:eastAsia="仿宋_GB2312"/>
          <w:sz w:val="32"/>
          <w:szCs w:val="32"/>
        </w:rPr>
      </w:pPr>
      <w:r>
        <w:rPr>
          <w:rFonts w:ascii="仿宋_GB2312" w:hAnsi="仿宋" w:eastAsia="仿宋_GB2312" w:cs="仿宋_GB2312"/>
          <w:sz w:val="32"/>
          <w:szCs w:val="32"/>
        </w:rPr>
        <w:t>2018</w:t>
      </w:r>
      <w:r>
        <w:rPr>
          <w:rFonts w:hint="eastAsia" w:ascii="仿宋_GB2312" w:hAnsi="仿宋" w:eastAsia="仿宋_GB2312" w:cs="仿宋_GB2312"/>
          <w:sz w:val="32"/>
          <w:szCs w:val="32"/>
        </w:rPr>
        <w:t>年“三公经费”财政拨款支出共</w:t>
      </w:r>
      <w:r>
        <w:rPr>
          <w:rFonts w:ascii="仿宋_GB2312" w:hAnsi="仿宋" w:eastAsia="仿宋_GB2312" w:cs="仿宋_GB2312"/>
          <w:sz w:val="32"/>
          <w:szCs w:val="32"/>
        </w:rPr>
        <w:t>0</w:t>
      </w:r>
      <w:r>
        <w:rPr>
          <w:rFonts w:hint="eastAsia" w:ascii="仿宋_GB2312" w:hAnsi="仿宋" w:eastAsia="仿宋_GB2312" w:cs="仿宋_GB2312"/>
          <w:sz w:val="32"/>
          <w:szCs w:val="32"/>
        </w:rPr>
        <w:t>万元，比上年支出</w:t>
      </w:r>
      <w:r>
        <w:rPr>
          <w:rFonts w:ascii="仿宋_GB2312" w:hAnsi="仿宋" w:eastAsia="仿宋_GB2312" w:cs="仿宋_GB2312"/>
          <w:sz w:val="32"/>
          <w:szCs w:val="32"/>
        </w:rPr>
        <w:t>0</w:t>
      </w:r>
      <w:r>
        <w:rPr>
          <w:rFonts w:hint="eastAsia" w:ascii="仿宋_GB2312" w:hAnsi="仿宋" w:eastAsia="仿宋_GB2312" w:cs="仿宋_GB2312"/>
          <w:sz w:val="32"/>
          <w:szCs w:val="32"/>
        </w:rPr>
        <w:t>.</w:t>
      </w:r>
      <w:r>
        <w:rPr>
          <w:rFonts w:ascii="仿宋_GB2312" w:hAnsi="仿宋" w:eastAsia="仿宋_GB2312" w:cs="仿宋_GB2312"/>
          <w:sz w:val="32"/>
          <w:szCs w:val="32"/>
        </w:rPr>
        <w:t>15</w:t>
      </w:r>
      <w:r>
        <w:rPr>
          <w:rFonts w:hint="eastAsia" w:ascii="仿宋_GB2312" w:hAnsi="仿宋" w:eastAsia="仿宋_GB2312" w:cs="仿宋_GB2312"/>
          <w:sz w:val="32"/>
          <w:szCs w:val="32"/>
        </w:rPr>
        <w:t>万元，减少</w:t>
      </w:r>
      <w:r>
        <w:rPr>
          <w:rFonts w:ascii="仿宋_GB2312" w:hAnsi="仿宋" w:eastAsia="仿宋_GB2312" w:cs="仿宋_GB2312"/>
          <w:sz w:val="32"/>
          <w:szCs w:val="32"/>
        </w:rPr>
        <w:t>0</w:t>
      </w:r>
      <w:r>
        <w:rPr>
          <w:rFonts w:hint="eastAsia" w:ascii="仿宋_GB2312" w:hAnsi="仿宋" w:eastAsia="仿宋_GB2312" w:cs="仿宋_GB2312"/>
          <w:sz w:val="32"/>
          <w:szCs w:val="32"/>
        </w:rPr>
        <w:t>.</w:t>
      </w:r>
      <w:r>
        <w:rPr>
          <w:rFonts w:ascii="仿宋_GB2312" w:hAnsi="仿宋" w:eastAsia="仿宋_GB2312" w:cs="仿宋_GB2312"/>
          <w:sz w:val="32"/>
          <w:szCs w:val="32"/>
        </w:rPr>
        <w:t>15</w:t>
      </w:r>
      <w:r>
        <w:rPr>
          <w:rFonts w:hint="eastAsia" w:ascii="仿宋_GB2312" w:hAnsi="仿宋" w:eastAsia="仿宋_GB2312" w:cs="仿宋_GB2312"/>
          <w:sz w:val="32"/>
          <w:szCs w:val="32"/>
        </w:rPr>
        <w:t>万元，减少</w:t>
      </w:r>
      <w:r>
        <w:rPr>
          <w:rFonts w:ascii="仿宋_GB2312" w:hAnsi="仿宋" w:eastAsia="仿宋_GB2312" w:cs="仿宋_GB2312"/>
          <w:sz w:val="32"/>
          <w:szCs w:val="32"/>
        </w:rPr>
        <w:t>100%</w:t>
      </w:r>
      <w:r>
        <w:rPr>
          <w:rFonts w:hint="eastAsia" w:ascii="仿宋_GB2312" w:hAnsi="仿宋" w:eastAsia="仿宋_GB2312" w:cs="仿宋_GB2312"/>
          <w:sz w:val="32"/>
          <w:szCs w:val="32"/>
        </w:rPr>
        <w:t>，主要是加强管理，厉行节约。具体如下：</w:t>
      </w:r>
    </w:p>
    <w:p>
      <w:pPr>
        <w:spacing w:line="460" w:lineRule="exact"/>
        <w:ind w:firstLine="640" w:firstLineChars="200"/>
        <w:rPr>
          <w:rFonts w:ascii="仿宋_GB2312" w:hAnsi="仿宋" w:eastAsia="仿宋_GB2312"/>
          <w:sz w:val="32"/>
          <w:szCs w:val="32"/>
        </w:rPr>
      </w:pPr>
      <w:r>
        <w:rPr>
          <w:rFonts w:ascii="仿宋_GB2312" w:hAnsi="仿宋" w:eastAsia="仿宋_GB2312" w:cs="仿宋_GB2312"/>
          <w:sz w:val="32"/>
          <w:szCs w:val="32"/>
        </w:rPr>
        <w:t>1</w:t>
      </w:r>
      <w:r>
        <w:rPr>
          <w:rFonts w:hint="eastAsia" w:ascii="仿宋_GB2312" w:hAnsi="仿宋" w:eastAsia="仿宋_GB2312" w:cs="仿宋_GB2312"/>
          <w:sz w:val="32"/>
          <w:szCs w:val="32"/>
        </w:rPr>
        <w:t>、公务接待费支出</w:t>
      </w:r>
      <w:r>
        <w:rPr>
          <w:rFonts w:ascii="仿宋_GB2312" w:hAnsi="仿宋" w:eastAsia="仿宋_GB2312" w:cs="仿宋_GB2312"/>
          <w:sz w:val="32"/>
          <w:szCs w:val="32"/>
        </w:rPr>
        <w:t>0</w:t>
      </w:r>
      <w:r>
        <w:rPr>
          <w:rFonts w:hint="eastAsia" w:ascii="仿宋_GB2312" w:hAnsi="仿宋" w:eastAsia="仿宋_GB2312" w:cs="仿宋_GB2312"/>
          <w:sz w:val="32"/>
          <w:szCs w:val="32"/>
        </w:rPr>
        <w:t>万元，同比减少</w:t>
      </w:r>
      <w:r>
        <w:rPr>
          <w:rFonts w:ascii="仿宋_GB2312" w:hAnsi="仿宋" w:eastAsia="仿宋_GB2312" w:cs="仿宋_GB2312"/>
          <w:sz w:val="32"/>
          <w:szCs w:val="32"/>
        </w:rPr>
        <w:t>0</w:t>
      </w:r>
      <w:r>
        <w:rPr>
          <w:rFonts w:hint="eastAsia" w:ascii="仿宋_GB2312" w:hAnsi="仿宋" w:eastAsia="仿宋_GB2312" w:cs="仿宋_GB2312"/>
          <w:sz w:val="32"/>
          <w:szCs w:val="32"/>
        </w:rPr>
        <w:t>.</w:t>
      </w:r>
      <w:r>
        <w:rPr>
          <w:rFonts w:ascii="仿宋_GB2312" w:hAnsi="仿宋" w:eastAsia="仿宋_GB2312" w:cs="仿宋_GB2312"/>
          <w:sz w:val="32"/>
          <w:szCs w:val="32"/>
        </w:rPr>
        <w:t>15</w:t>
      </w:r>
      <w:r>
        <w:rPr>
          <w:rFonts w:hint="eastAsia" w:ascii="仿宋_GB2312" w:hAnsi="仿宋" w:eastAsia="仿宋_GB2312" w:cs="仿宋_GB2312"/>
          <w:sz w:val="32"/>
          <w:szCs w:val="32"/>
        </w:rPr>
        <w:t>万元。</w:t>
      </w:r>
    </w:p>
    <w:p>
      <w:pPr>
        <w:spacing w:line="460" w:lineRule="exact"/>
        <w:ind w:firstLine="640" w:firstLineChars="200"/>
        <w:rPr>
          <w:rFonts w:ascii="仿宋_GB2312" w:hAnsi="仿宋" w:eastAsia="仿宋_GB2312"/>
          <w:sz w:val="32"/>
          <w:szCs w:val="32"/>
        </w:rPr>
      </w:pPr>
      <w:r>
        <w:rPr>
          <w:rFonts w:ascii="仿宋_GB2312" w:hAnsi="仿宋" w:eastAsia="仿宋_GB2312" w:cs="仿宋_GB2312"/>
          <w:sz w:val="32"/>
          <w:szCs w:val="32"/>
        </w:rPr>
        <w:t>2</w:t>
      </w:r>
      <w:r>
        <w:rPr>
          <w:rFonts w:hint="eastAsia" w:ascii="仿宋_GB2312" w:hAnsi="仿宋" w:eastAsia="仿宋_GB2312" w:cs="仿宋_GB2312"/>
          <w:sz w:val="32"/>
          <w:szCs w:val="32"/>
        </w:rPr>
        <w:t>、公务用车购置费无支出；车改后没有保留公务用车，公务用车运行维护费支出</w:t>
      </w:r>
      <w:r>
        <w:rPr>
          <w:rFonts w:ascii="仿宋_GB2312" w:hAnsi="仿宋" w:eastAsia="仿宋_GB2312" w:cs="仿宋_GB2312"/>
          <w:sz w:val="32"/>
          <w:szCs w:val="32"/>
        </w:rPr>
        <w:t>0</w:t>
      </w:r>
      <w:r>
        <w:rPr>
          <w:rFonts w:hint="eastAsia" w:ascii="仿宋_GB2312" w:hAnsi="仿宋" w:eastAsia="仿宋_GB2312" w:cs="仿宋_GB2312"/>
          <w:sz w:val="32"/>
          <w:szCs w:val="32"/>
        </w:rPr>
        <w:t>万元，同比减少</w:t>
      </w:r>
      <w:r>
        <w:rPr>
          <w:rFonts w:ascii="仿宋_GB2312" w:hAnsi="仿宋" w:eastAsia="仿宋_GB2312" w:cs="仿宋_GB2312"/>
          <w:sz w:val="32"/>
          <w:szCs w:val="32"/>
        </w:rPr>
        <w:t>0</w:t>
      </w:r>
      <w:r>
        <w:rPr>
          <w:rFonts w:hint="eastAsia" w:ascii="仿宋_GB2312" w:hAnsi="仿宋" w:eastAsia="仿宋_GB2312" w:cs="仿宋_GB2312"/>
          <w:sz w:val="32"/>
          <w:szCs w:val="32"/>
        </w:rPr>
        <w:t>万元。</w:t>
      </w:r>
    </w:p>
    <w:p>
      <w:pPr>
        <w:spacing w:line="460" w:lineRule="exact"/>
        <w:ind w:firstLine="640" w:firstLineChars="200"/>
        <w:rPr>
          <w:rFonts w:ascii="仿宋_GB2312" w:hAnsi="仿宋" w:eastAsia="仿宋_GB2312"/>
          <w:sz w:val="32"/>
          <w:szCs w:val="32"/>
        </w:rPr>
      </w:pPr>
      <w:r>
        <w:rPr>
          <w:rFonts w:ascii="仿宋_GB2312" w:hAnsi="仿宋" w:eastAsia="仿宋_GB2312" w:cs="仿宋_GB2312"/>
          <w:sz w:val="32"/>
          <w:szCs w:val="32"/>
        </w:rPr>
        <w:t>3</w:t>
      </w:r>
      <w:r>
        <w:rPr>
          <w:rFonts w:hint="eastAsia" w:ascii="仿宋_GB2312" w:hAnsi="仿宋" w:eastAsia="仿宋_GB2312" w:cs="仿宋_GB2312"/>
          <w:sz w:val="32"/>
          <w:szCs w:val="32"/>
        </w:rPr>
        <w:t>、因公出国（境）费无支出。</w:t>
      </w:r>
    </w:p>
    <w:p>
      <w:pPr>
        <w:widowControl/>
        <w:shd w:val="clear" w:color="auto" w:fill="FFFFFF"/>
        <w:autoSpaceDE w:val="0"/>
        <w:spacing w:line="520" w:lineRule="exact"/>
        <w:ind w:firstLine="643"/>
        <w:jc w:val="left"/>
        <w:rPr>
          <w:rFonts w:ascii="仿宋_GB2312" w:hAnsi="黑体" w:eastAsia="仿宋_GB2312"/>
          <w:color w:val="222222"/>
          <w:kern w:val="0"/>
          <w:sz w:val="32"/>
          <w:szCs w:val="32"/>
        </w:rPr>
      </w:pPr>
      <w:r>
        <w:rPr>
          <w:rFonts w:hint="eastAsia" w:ascii="仿宋_GB2312" w:hAnsi="黑体" w:eastAsia="仿宋_GB2312" w:cs="仿宋_GB2312"/>
          <w:color w:val="222222"/>
          <w:kern w:val="0"/>
          <w:sz w:val="32"/>
          <w:szCs w:val="32"/>
        </w:rPr>
        <w:t>（二）项目支出</w:t>
      </w:r>
    </w:p>
    <w:p>
      <w:pPr>
        <w:widowControl/>
        <w:shd w:val="clear" w:color="auto" w:fill="FFFFFF"/>
        <w:autoSpaceDE w:val="0"/>
        <w:spacing w:line="520" w:lineRule="exact"/>
        <w:ind w:firstLine="643"/>
        <w:jc w:val="left"/>
        <w:rPr>
          <w:rFonts w:ascii="仿宋_GB2312" w:hAnsi="黑体" w:eastAsia="仿宋_GB2312"/>
          <w:color w:val="222222"/>
          <w:kern w:val="0"/>
          <w:sz w:val="32"/>
          <w:szCs w:val="32"/>
        </w:rPr>
      </w:pPr>
      <w:r>
        <w:rPr>
          <w:rFonts w:hint="eastAsia" w:ascii="仿宋_GB2312" w:hAnsi="黑体" w:eastAsia="仿宋_GB2312" w:cs="仿宋_GB2312"/>
          <w:color w:val="222222"/>
          <w:kern w:val="0"/>
          <w:sz w:val="32"/>
          <w:szCs w:val="32"/>
        </w:rPr>
        <w:t>项目支出系保障四大家运转经费支出，</w:t>
      </w:r>
      <w:r>
        <w:rPr>
          <w:rFonts w:ascii="仿宋_GB2312" w:hAnsi="仿宋" w:eastAsia="仿宋_GB2312" w:cs="仿宋_GB2312"/>
          <w:sz w:val="32"/>
          <w:szCs w:val="32"/>
        </w:rPr>
        <w:t>2018</w:t>
      </w:r>
      <w:r>
        <w:rPr>
          <w:rFonts w:hint="eastAsia" w:ascii="仿宋_GB2312" w:hAnsi="仿宋" w:eastAsia="仿宋_GB2312" w:cs="仿宋_GB2312"/>
          <w:sz w:val="32"/>
          <w:szCs w:val="32"/>
        </w:rPr>
        <w:t>年财政拨款支出按用途划分，项目支出</w:t>
      </w:r>
      <w:r>
        <w:rPr>
          <w:rFonts w:ascii="仿宋_GB2312" w:hAnsi="仿宋" w:eastAsia="仿宋_GB2312" w:cs="仿宋_GB2312"/>
          <w:sz w:val="32"/>
          <w:szCs w:val="32"/>
        </w:rPr>
        <w:t>97.1248</w:t>
      </w:r>
      <w:r>
        <w:rPr>
          <w:rFonts w:hint="eastAsia" w:ascii="仿宋_GB2312" w:hAnsi="仿宋" w:eastAsia="仿宋_GB2312" w:cs="仿宋_GB2312"/>
          <w:sz w:val="32"/>
          <w:szCs w:val="32"/>
        </w:rPr>
        <w:t>万元，其中：水费4.</w:t>
      </w:r>
      <w:r>
        <w:rPr>
          <w:rFonts w:ascii="仿宋_GB2312" w:hAnsi="仿宋" w:eastAsia="仿宋_GB2312" w:cs="仿宋_GB2312"/>
          <w:sz w:val="32"/>
          <w:szCs w:val="32"/>
        </w:rPr>
        <w:t>5189</w:t>
      </w:r>
      <w:r>
        <w:rPr>
          <w:rFonts w:hint="eastAsia" w:ascii="仿宋_GB2312" w:hAnsi="仿宋" w:eastAsia="仿宋_GB2312" w:cs="仿宋_GB2312"/>
          <w:sz w:val="32"/>
          <w:szCs w:val="32"/>
        </w:rPr>
        <w:t>万元，物业管理费5</w:t>
      </w:r>
      <w:r>
        <w:rPr>
          <w:rFonts w:ascii="仿宋_GB2312" w:hAnsi="仿宋" w:eastAsia="仿宋_GB2312" w:cs="仿宋_GB2312"/>
          <w:sz w:val="32"/>
          <w:szCs w:val="32"/>
        </w:rPr>
        <w:t>3</w:t>
      </w:r>
      <w:r>
        <w:rPr>
          <w:rFonts w:hint="eastAsia" w:ascii="仿宋_GB2312" w:hAnsi="仿宋" w:eastAsia="仿宋_GB2312" w:cs="仿宋_GB2312"/>
          <w:sz w:val="32"/>
          <w:szCs w:val="32"/>
        </w:rPr>
        <w:t>.</w:t>
      </w:r>
      <w:r>
        <w:rPr>
          <w:rFonts w:ascii="仿宋_GB2312" w:hAnsi="仿宋" w:eastAsia="仿宋_GB2312" w:cs="仿宋_GB2312"/>
          <w:sz w:val="32"/>
          <w:szCs w:val="32"/>
        </w:rPr>
        <w:t>7556</w:t>
      </w:r>
      <w:r>
        <w:rPr>
          <w:rFonts w:hint="eastAsia" w:ascii="仿宋_GB2312" w:hAnsi="仿宋" w:eastAsia="仿宋_GB2312" w:cs="仿宋_GB2312"/>
          <w:sz w:val="32"/>
          <w:szCs w:val="32"/>
        </w:rPr>
        <w:t>万元，维修（护）费3</w:t>
      </w:r>
      <w:r>
        <w:rPr>
          <w:rFonts w:ascii="仿宋_GB2312" w:hAnsi="仿宋" w:eastAsia="仿宋_GB2312" w:cs="仿宋_GB2312"/>
          <w:sz w:val="32"/>
          <w:szCs w:val="32"/>
        </w:rPr>
        <w:t>8</w:t>
      </w:r>
      <w:r>
        <w:rPr>
          <w:rFonts w:hint="eastAsia" w:ascii="仿宋_GB2312" w:hAnsi="仿宋" w:eastAsia="仿宋_GB2312" w:cs="仿宋_GB2312"/>
          <w:sz w:val="32"/>
          <w:szCs w:val="32"/>
        </w:rPr>
        <w:t>.</w:t>
      </w:r>
      <w:r>
        <w:rPr>
          <w:rFonts w:ascii="仿宋_GB2312" w:hAnsi="仿宋" w:eastAsia="仿宋_GB2312" w:cs="仿宋_GB2312"/>
          <w:sz w:val="32"/>
          <w:szCs w:val="32"/>
        </w:rPr>
        <w:t>1583</w:t>
      </w:r>
      <w:r>
        <w:rPr>
          <w:rFonts w:hint="eastAsia" w:ascii="仿宋_GB2312" w:hAnsi="仿宋" w:eastAsia="仿宋_GB2312" w:cs="仿宋_GB2312"/>
          <w:sz w:val="32"/>
          <w:szCs w:val="32"/>
        </w:rPr>
        <w:t>万元，会议费0.</w:t>
      </w:r>
      <w:r>
        <w:rPr>
          <w:rFonts w:ascii="仿宋_GB2312" w:hAnsi="仿宋" w:eastAsia="仿宋_GB2312" w:cs="仿宋_GB2312"/>
          <w:sz w:val="32"/>
          <w:szCs w:val="32"/>
        </w:rPr>
        <w:t>692</w:t>
      </w:r>
      <w:r>
        <w:rPr>
          <w:rFonts w:hint="eastAsia" w:ascii="仿宋_GB2312" w:hAnsi="仿宋" w:eastAsia="仿宋_GB2312" w:cs="仿宋_GB2312"/>
          <w:sz w:val="32"/>
          <w:szCs w:val="32"/>
        </w:rPr>
        <w:t>万元</w:t>
      </w:r>
      <w:r>
        <w:rPr>
          <w:rFonts w:hint="eastAsia" w:ascii="仿宋_GB2312" w:hAnsi="黑体" w:eastAsia="仿宋_GB2312" w:cs="仿宋_GB2312"/>
          <w:color w:val="222222"/>
          <w:kern w:val="0"/>
          <w:sz w:val="32"/>
          <w:szCs w:val="32"/>
        </w:rPr>
        <w:t>。</w:t>
      </w:r>
    </w:p>
    <w:p>
      <w:pPr>
        <w:widowControl/>
        <w:shd w:val="clear" w:color="auto" w:fill="FFFFFF"/>
        <w:autoSpaceDE w:val="0"/>
        <w:spacing w:line="520" w:lineRule="exact"/>
        <w:ind w:firstLine="643"/>
        <w:jc w:val="left"/>
        <w:rPr>
          <w:rFonts w:ascii="黑体" w:hAnsi="黑体" w:eastAsia="黑体"/>
          <w:b/>
          <w:bCs/>
          <w:color w:val="222222"/>
          <w:kern w:val="0"/>
          <w:sz w:val="32"/>
          <w:szCs w:val="32"/>
        </w:rPr>
      </w:pPr>
      <w:r>
        <w:rPr>
          <w:rFonts w:hint="eastAsia" w:ascii="黑体" w:hAnsi="黑体" w:eastAsia="黑体" w:cs="黑体"/>
          <w:b/>
          <w:bCs/>
          <w:color w:val="222222"/>
          <w:kern w:val="0"/>
          <w:sz w:val="32"/>
          <w:szCs w:val="32"/>
        </w:rPr>
        <w:t>三、部门整体支出管理情况</w:t>
      </w:r>
    </w:p>
    <w:p>
      <w:pPr>
        <w:widowControl/>
        <w:spacing w:line="520" w:lineRule="exact"/>
        <w:ind w:firstLine="640"/>
        <w:jc w:val="left"/>
        <w:rPr>
          <w:rFonts w:ascii="仿宋_GB2312" w:hAnsi="仿宋" w:eastAsia="仿宋_GB2312"/>
          <w:color w:val="000000"/>
          <w:kern w:val="0"/>
          <w:sz w:val="32"/>
          <w:szCs w:val="32"/>
        </w:rPr>
      </w:pPr>
      <w:r>
        <w:rPr>
          <w:rFonts w:hint="eastAsia" w:ascii="仿宋_GB2312" w:hAnsi="仿宋" w:eastAsia="仿宋_GB2312" w:cs="仿宋_GB2312"/>
          <w:color w:val="000000"/>
          <w:kern w:val="0"/>
          <w:sz w:val="32"/>
          <w:szCs w:val="32"/>
        </w:rPr>
        <w:t>（一）内部财务管理制度健全。制定了机关财务管理、公务接待、车辆使用管理等制度，会计核算</w:t>
      </w:r>
      <w:r>
        <w:rPr>
          <w:rFonts w:hint="eastAsia" w:ascii="仿宋_GB2312" w:hAnsi="仿宋" w:eastAsia="仿宋_GB2312" w:cs="仿宋_GB2312"/>
          <w:color w:val="555555"/>
          <w:kern w:val="0"/>
          <w:sz w:val="32"/>
          <w:szCs w:val="32"/>
        </w:rPr>
        <w:t>严格执行财经和财务制度，日常财务处理及时规范，</w:t>
      </w:r>
      <w:r>
        <w:rPr>
          <w:rFonts w:ascii="仿宋_GB2312" w:hAnsi="仿宋" w:eastAsia="仿宋_GB2312" w:cs="仿宋_GB2312"/>
          <w:color w:val="555555"/>
          <w:kern w:val="0"/>
          <w:sz w:val="32"/>
          <w:szCs w:val="32"/>
        </w:rPr>
        <w:t>2018</w:t>
      </w:r>
      <w:r>
        <w:rPr>
          <w:rFonts w:hint="eastAsia" w:ascii="仿宋_GB2312" w:hAnsi="仿宋" w:eastAsia="仿宋_GB2312" w:cs="仿宋_GB2312"/>
          <w:color w:val="555555"/>
          <w:kern w:val="0"/>
          <w:sz w:val="32"/>
          <w:szCs w:val="32"/>
        </w:rPr>
        <w:t>年按照财政局要求开展了内部控制基础性评价工作，进一步完善了内部控制体系。</w:t>
      </w:r>
    </w:p>
    <w:p>
      <w:pPr>
        <w:widowControl/>
        <w:spacing w:line="520" w:lineRule="exact"/>
        <w:ind w:firstLine="640"/>
        <w:jc w:val="left"/>
        <w:rPr>
          <w:rFonts w:ascii="仿宋_GB2312" w:hAnsi="仿宋" w:eastAsia="仿宋_GB2312"/>
          <w:color w:val="000000"/>
          <w:kern w:val="0"/>
          <w:sz w:val="32"/>
          <w:szCs w:val="32"/>
        </w:rPr>
      </w:pPr>
      <w:r>
        <w:rPr>
          <w:rFonts w:hint="eastAsia" w:ascii="仿宋_GB2312" w:hAnsi="仿宋" w:eastAsia="仿宋_GB2312" w:cs="仿宋_GB2312"/>
          <w:color w:val="000000"/>
          <w:kern w:val="0"/>
          <w:sz w:val="32"/>
          <w:szCs w:val="32"/>
        </w:rPr>
        <w:t>（二）严格预算支出管理。认真落实预算管理和绩效管理各项制度要求，在支出预算编制上，根据“总量控制，计划管理”的要求，从严控制行政经费，压缩公共开支，严格控制“三公”经费，资产的配置严格实行政府采购制度，合理规范使用财政资金，保障部门整体</w:t>
      </w:r>
      <w:r>
        <w:rPr>
          <w:rFonts w:hint="eastAsia" w:ascii="仿宋_GB2312" w:hAnsi="仿宋" w:eastAsia="仿宋_GB2312" w:cs="仿宋_GB2312"/>
          <w:color w:val="000000"/>
          <w:spacing w:val="-4"/>
          <w:kern w:val="0"/>
          <w:sz w:val="32"/>
          <w:szCs w:val="32"/>
        </w:rPr>
        <w:t>支出的规范化、合理化、科学化。资金的拨付有完整的审批程序和手续。</w:t>
      </w:r>
    </w:p>
    <w:p>
      <w:pPr>
        <w:widowControl/>
        <w:shd w:val="clear" w:color="auto" w:fill="FFFFFF"/>
        <w:autoSpaceDE w:val="0"/>
        <w:spacing w:line="520" w:lineRule="exact"/>
        <w:ind w:firstLine="640"/>
        <w:jc w:val="left"/>
        <w:rPr>
          <w:rFonts w:ascii="黑体" w:hAnsi="黑体" w:eastAsia="黑体"/>
          <w:b/>
          <w:bCs/>
          <w:color w:val="666666"/>
          <w:kern w:val="0"/>
          <w:sz w:val="24"/>
          <w:szCs w:val="24"/>
        </w:rPr>
      </w:pPr>
      <w:r>
        <w:rPr>
          <w:rFonts w:hint="eastAsia" w:ascii="黑体" w:hAnsi="黑体" w:eastAsia="黑体" w:cs="黑体"/>
          <w:b/>
          <w:bCs/>
          <w:color w:val="222222"/>
          <w:kern w:val="0"/>
          <w:sz w:val="32"/>
          <w:szCs w:val="32"/>
        </w:rPr>
        <w:t>四、部门整体支出绩效情况</w:t>
      </w:r>
    </w:p>
    <w:p>
      <w:pPr>
        <w:widowControl/>
        <w:shd w:val="clear" w:color="auto" w:fill="FFFFFF"/>
        <w:autoSpaceDE w:val="0"/>
        <w:spacing w:line="520" w:lineRule="exact"/>
        <w:ind w:firstLine="640"/>
        <w:jc w:val="left"/>
        <w:rPr>
          <w:rFonts w:ascii="仿宋_GB2312" w:hAnsi="仿宋" w:eastAsia="仿宋_GB2312"/>
          <w:color w:val="222222"/>
          <w:kern w:val="0"/>
          <w:sz w:val="32"/>
          <w:szCs w:val="32"/>
        </w:rPr>
      </w:pPr>
      <w:r>
        <w:rPr>
          <w:rFonts w:ascii="仿宋_GB2312" w:hAnsi="仿宋" w:eastAsia="仿宋_GB2312" w:cs="仿宋_GB2312"/>
          <w:color w:val="222222"/>
          <w:kern w:val="0"/>
          <w:sz w:val="32"/>
          <w:szCs w:val="32"/>
        </w:rPr>
        <w:t>2018</w:t>
      </w:r>
      <w:r>
        <w:rPr>
          <w:rFonts w:hint="eastAsia" w:ascii="仿宋_GB2312" w:hAnsi="仿宋" w:eastAsia="仿宋_GB2312" w:cs="仿宋_GB2312"/>
          <w:color w:val="222222"/>
          <w:kern w:val="0"/>
          <w:sz w:val="32"/>
          <w:szCs w:val="32"/>
        </w:rPr>
        <w:t>年，根据我中心年初工作规划和重点性工作，围绕县委、县政府的工作部署，积极履职，强化管理，较好的完成了年度工作目标。通过加强预算收支管理，不断建立健全内部管理制度，梳理内部管理流程，部门整体支出管理情况得到提升。</w:t>
      </w:r>
      <w:r>
        <w:rPr>
          <w:rFonts w:ascii="仿宋_GB2312" w:hAnsi="仿宋" w:eastAsia="仿宋_GB2312" w:cs="仿宋_GB2312"/>
          <w:color w:val="222222"/>
          <w:kern w:val="0"/>
          <w:sz w:val="32"/>
          <w:szCs w:val="32"/>
        </w:rPr>
        <w:t>2018</w:t>
      </w:r>
      <w:r>
        <w:rPr>
          <w:rFonts w:hint="eastAsia" w:ascii="仿宋_GB2312" w:hAnsi="仿宋" w:eastAsia="仿宋_GB2312" w:cs="仿宋_GB2312"/>
          <w:color w:val="222222"/>
          <w:kern w:val="0"/>
          <w:sz w:val="32"/>
          <w:szCs w:val="32"/>
        </w:rPr>
        <w:t>年度部门整体支出绩效情况如下：</w:t>
      </w:r>
    </w:p>
    <w:p>
      <w:pPr>
        <w:widowControl/>
        <w:shd w:val="clear" w:color="auto" w:fill="FFFFFF"/>
        <w:autoSpaceDE w:val="0"/>
        <w:spacing w:line="520" w:lineRule="exact"/>
        <w:ind w:firstLine="643"/>
        <w:jc w:val="left"/>
        <w:rPr>
          <w:rFonts w:ascii="仿宋_GB2312" w:hAnsi="仿宋" w:eastAsia="仿宋_GB2312"/>
          <w:color w:val="000000"/>
          <w:sz w:val="32"/>
          <w:szCs w:val="32"/>
        </w:rPr>
      </w:pPr>
      <w:r>
        <w:rPr>
          <w:rFonts w:ascii="仿宋_GB2312" w:hAnsi="仿宋" w:eastAsia="仿宋_GB2312" w:cs="仿宋_GB2312"/>
          <w:color w:val="222222"/>
          <w:kern w:val="0"/>
          <w:sz w:val="32"/>
          <w:szCs w:val="32"/>
        </w:rPr>
        <w:t xml:space="preserve">1. </w:t>
      </w:r>
      <w:r>
        <w:rPr>
          <w:rFonts w:hint="eastAsia" w:ascii="仿宋_GB2312" w:hAnsi="仿宋" w:eastAsia="仿宋_GB2312" w:cs="仿宋_GB2312"/>
          <w:color w:val="222222"/>
          <w:kern w:val="0"/>
          <w:sz w:val="32"/>
          <w:szCs w:val="32"/>
        </w:rPr>
        <w:t>本年预算配置控制较好。</w:t>
      </w:r>
      <w:r>
        <w:rPr>
          <w:rFonts w:hint="eastAsia" w:ascii="仿宋_GB2312" w:hAnsi="仿宋" w:eastAsia="仿宋_GB2312" w:cs="仿宋_GB2312"/>
          <w:color w:val="000000"/>
          <w:sz w:val="32"/>
          <w:szCs w:val="32"/>
        </w:rPr>
        <w:t>财政供养人员控制在预算编制以内，编制内在职人员控制率</w:t>
      </w:r>
      <w:r>
        <w:rPr>
          <w:rFonts w:hint="eastAsia" w:ascii="仿宋_GB2312" w:hAnsi="仿宋" w:eastAsia="仿宋" w:cs="仿宋"/>
          <w:color w:val="000000"/>
          <w:sz w:val="32"/>
          <w:szCs w:val="32"/>
        </w:rPr>
        <w:t>≦</w:t>
      </w:r>
      <w:r>
        <w:rPr>
          <w:rFonts w:ascii="仿宋_GB2312" w:hAnsi="仿宋" w:eastAsia="仿宋_GB2312" w:cs="仿宋_GB2312"/>
          <w:color w:val="000000"/>
          <w:sz w:val="32"/>
          <w:szCs w:val="32"/>
        </w:rPr>
        <w:t>100%</w:t>
      </w:r>
      <w:r>
        <w:rPr>
          <w:rFonts w:hint="eastAsia" w:ascii="仿宋_GB2312" w:hAnsi="仿宋" w:eastAsia="仿宋_GB2312" w:cs="仿宋_GB2312"/>
          <w:color w:val="000000"/>
          <w:sz w:val="32"/>
          <w:szCs w:val="32"/>
        </w:rPr>
        <w:t>。</w:t>
      </w:r>
    </w:p>
    <w:p>
      <w:pPr>
        <w:widowControl/>
        <w:shd w:val="clear" w:color="auto" w:fill="FFFFFF"/>
        <w:autoSpaceDE w:val="0"/>
        <w:spacing w:line="520" w:lineRule="exact"/>
        <w:ind w:firstLine="643"/>
        <w:jc w:val="left"/>
        <w:rPr>
          <w:rFonts w:ascii="仿宋_GB2312" w:hAnsi="仿宋" w:eastAsia="仿宋_GB2312"/>
          <w:color w:val="000000"/>
          <w:sz w:val="32"/>
          <w:szCs w:val="32"/>
        </w:rPr>
      </w:pPr>
      <w:r>
        <w:rPr>
          <w:rFonts w:ascii="仿宋_GB2312" w:hAnsi="仿宋" w:eastAsia="仿宋_GB2312" w:cs="仿宋_GB2312"/>
          <w:color w:val="222222"/>
          <w:kern w:val="0"/>
          <w:sz w:val="32"/>
          <w:szCs w:val="32"/>
        </w:rPr>
        <w:t xml:space="preserve"> 2. </w:t>
      </w:r>
      <w:r>
        <w:rPr>
          <w:rFonts w:hint="eastAsia" w:ascii="仿宋_GB2312" w:hAnsi="仿宋" w:eastAsia="仿宋_GB2312" w:cs="仿宋_GB2312"/>
          <w:color w:val="222222"/>
          <w:kern w:val="0"/>
          <w:sz w:val="32"/>
          <w:szCs w:val="32"/>
        </w:rPr>
        <w:t>预算执行控制较好。</w:t>
      </w:r>
      <w:r>
        <w:rPr>
          <w:rFonts w:hint="eastAsia" w:ascii="仿宋_GB2312" w:hAnsi="仿宋" w:eastAsia="仿宋_GB2312" w:cs="仿宋_GB2312"/>
          <w:color w:val="000000"/>
          <w:sz w:val="32"/>
          <w:szCs w:val="32"/>
        </w:rPr>
        <w:t>支出总额控制在预算总额以内，预算完成率达到</w:t>
      </w:r>
      <w:r>
        <w:rPr>
          <w:rFonts w:ascii="仿宋_GB2312" w:hAnsi="仿宋" w:eastAsia="仿宋_GB2312" w:cs="仿宋_GB2312"/>
          <w:color w:val="000000"/>
          <w:sz w:val="32"/>
          <w:szCs w:val="32"/>
        </w:rPr>
        <w:t>100%</w:t>
      </w:r>
      <w:r>
        <w:rPr>
          <w:rFonts w:hint="eastAsia" w:ascii="仿宋_GB2312" w:hAnsi="仿宋" w:eastAsia="仿宋_GB2312" w:cs="仿宋_GB2312"/>
          <w:color w:val="000000"/>
          <w:sz w:val="32"/>
          <w:szCs w:val="32"/>
        </w:rPr>
        <w:t>，预算控制较好，全年没有新建楼堂馆所。</w:t>
      </w:r>
    </w:p>
    <w:p>
      <w:pPr>
        <w:widowControl/>
        <w:spacing w:line="520" w:lineRule="exact"/>
        <w:ind w:firstLine="640"/>
        <w:jc w:val="left"/>
        <w:rPr>
          <w:rFonts w:ascii="仿宋_GB2312" w:hAnsi="仿宋" w:eastAsia="仿宋_GB2312"/>
          <w:color w:val="000000"/>
          <w:kern w:val="0"/>
          <w:sz w:val="32"/>
          <w:szCs w:val="32"/>
        </w:rPr>
      </w:pPr>
      <w:r>
        <w:rPr>
          <w:rFonts w:ascii="仿宋_GB2312" w:hAnsi="仿宋" w:eastAsia="仿宋_GB2312" w:cs="仿宋_GB2312"/>
          <w:color w:val="000000"/>
          <w:kern w:val="0"/>
          <w:sz w:val="32"/>
          <w:szCs w:val="32"/>
        </w:rPr>
        <w:t xml:space="preserve">3. </w:t>
      </w:r>
      <w:r>
        <w:rPr>
          <w:rFonts w:hint="eastAsia" w:ascii="仿宋_GB2312" w:hAnsi="仿宋" w:eastAsia="仿宋_GB2312" w:cs="仿宋_GB2312"/>
          <w:color w:val="000000"/>
          <w:kern w:val="0"/>
          <w:sz w:val="32"/>
          <w:szCs w:val="32"/>
        </w:rPr>
        <w:t>预算管理较为理想。制订了切实有效的财务、车辆、公务接待、资产等内部管理制度，认真进行预算编制，进一步明确了机关行政经费审批手续和报销程序，各项经费支出严格按照政府采购、国库集中支付等有关规定执行，加强了财务管理，规范了收支行为，各项制度的执行总体较为有效，但仍需进一步强化。</w:t>
      </w:r>
      <w:r>
        <w:rPr>
          <w:rFonts w:ascii="仿宋_GB2312" w:hAnsi="仿宋" w:eastAsia="仿宋_GB2312" w:cs="仿宋_GB2312"/>
          <w:sz w:val="32"/>
          <w:szCs w:val="32"/>
        </w:rPr>
        <w:t>2018</w:t>
      </w:r>
      <w:r>
        <w:rPr>
          <w:rFonts w:hint="eastAsia" w:ascii="仿宋_GB2312" w:hAnsi="仿宋" w:eastAsia="仿宋_GB2312" w:cs="仿宋_GB2312"/>
          <w:sz w:val="32"/>
          <w:szCs w:val="32"/>
        </w:rPr>
        <w:t>年“三公经费”决算支出</w:t>
      </w:r>
      <w:r>
        <w:rPr>
          <w:rFonts w:hint="eastAsia" w:ascii="仿宋_GB2312" w:hAnsi="仿宋" w:eastAsia="仿宋_GB2312" w:cs="仿宋_GB2312"/>
          <w:color w:val="000000"/>
          <w:kern w:val="0"/>
          <w:sz w:val="32"/>
          <w:szCs w:val="32"/>
        </w:rPr>
        <w:t>没有超出年初预算数。对于单位的政府采购项目，凡单位购买属于政府采购范围内的</w:t>
      </w:r>
      <w:r>
        <w:rPr>
          <w:rFonts w:hint="eastAsia" w:ascii="仿宋_GB2312" w:hAnsi="仿宋" w:eastAsia="仿宋_GB2312" w:cs="仿宋_GB2312"/>
          <w:color w:val="000000"/>
          <w:kern w:val="0"/>
          <w:sz w:val="32"/>
          <w:szCs w:val="32"/>
          <w:shd w:val="clear" w:color="auto" w:fill="FFFFFF"/>
        </w:rPr>
        <w:t>货物、工程和服务，严格遵守政府采购</w:t>
      </w:r>
      <w:r>
        <w:rPr>
          <w:rFonts w:hint="eastAsia" w:ascii="仿宋_GB2312" w:hAnsi="仿宋" w:eastAsia="仿宋_GB2312" w:cs="仿宋_GB2312"/>
          <w:color w:val="000000"/>
          <w:kern w:val="0"/>
          <w:sz w:val="32"/>
          <w:szCs w:val="32"/>
        </w:rPr>
        <w:t>相关法律法规的规定办理相关审批手续，但因部分人员和职责调整等不可预计的因素，导致政府采购总金额超出了年初预算。部门预算收支严格按年初部门预算方案执行，部门预决算、“三公”经费预决算按要求及时进行了公开。</w:t>
      </w:r>
    </w:p>
    <w:p>
      <w:pPr>
        <w:widowControl/>
        <w:shd w:val="clear" w:color="auto" w:fill="FFFFFF"/>
        <w:autoSpaceDE w:val="0"/>
        <w:spacing w:line="520" w:lineRule="exact"/>
        <w:ind w:firstLine="640"/>
        <w:jc w:val="left"/>
        <w:rPr>
          <w:rFonts w:ascii="宋体"/>
          <w:b/>
          <w:bCs/>
          <w:color w:val="222222"/>
          <w:w w:val="90"/>
          <w:kern w:val="0"/>
          <w:sz w:val="32"/>
          <w:szCs w:val="32"/>
        </w:rPr>
      </w:pPr>
      <w:r>
        <w:rPr>
          <w:rFonts w:hint="eastAsia" w:ascii="宋体" w:hAnsi="宋体" w:cs="宋体"/>
          <w:b/>
          <w:bCs/>
          <w:color w:val="222222"/>
          <w:kern w:val="0"/>
          <w:sz w:val="32"/>
          <w:szCs w:val="32"/>
        </w:rPr>
        <w:t>五、</w:t>
      </w:r>
      <w:r>
        <w:rPr>
          <w:rFonts w:hint="eastAsia" w:ascii="宋体" w:hAnsi="宋体" w:cs="宋体"/>
          <w:b/>
          <w:bCs/>
          <w:color w:val="222222"/>
          <w:w w:val="90"/>
          <w:kern w:val="0"/>
          <w:sz w:val="32"/>
          <w:szCs w:val="32"/>
        </w:rPr>
        <w:t>结合《部门整体支出绩效评价指标表》的评价结果。</w:t>
      </w:r>
    </w:p>
    <w:p>
      <w:pPr>
        <w:widowControl/>
        <w:shd w:val="clear" w:color="auto" w:fill="FFFFFF"/>
        <w:autoSpaceDE w:val="0"/>
        <w:spacing w:line="520" w:lineRule="exact"/>
        <w:ind w:firstLine="640"/>
        <w:jc w:val="left"/>
        <w:rPr>
          <w:rFonts w:ascii="仿宋_GB2312" w:hAnsi="仿宋" w:eastAsia="仿宋_GB2312"/>
          <w:color w:val="000000"/>
          <w:kern w:val="0"/>
          <w:sz w:val="32"/>
          <w:szCs w:val="32"/>
        </w:rPr>
      </w:pPr>
      <w:r>
        <w:rPr>
          <w:rFonts w:hint="eastAsia" w:ascii="仿宋_GB2312" w:hAnsi="仿宋" w:eastAsia="仿宋_GB2312" w:cs="仿宋_GB2312"/>
          <w:color w:val="000000"/>
          <w:kern w:val="0"/>
          <w:sz w:val="32"/>
          <w:szCs w:val="32"/>
        </w:rPr>
        <w:t>我中心财务管理工作严格按照国家的相关财务管理制度执行，财务制度健全、会计核算规范，依照计划管理使用，部门整体支出对保障我中心各项工作的高效运行发挥了重要作用，对照《部门整体支出绩效评价指标表》，我中心各项指标都较好地达到了相关要求，</w:t>
      </w:r>
      <w:r>
        <w:rPr>
          <w:rFonts w:ascii="仿宋_GB2312" w:hAnsi="仿宋" w:eastAsia="仿宋_GB2312" w:cs="仿宋_GB2312"/>
          <w:color w:val="000000"/>
          <w:kern w:val="0"/>
          <w:sz w:val="32"/>
          <w:szCs w:val="32"/>
        </w:rPr>
        <w:t>2018</w:t>
      </w:r>
      <w:r>
        <w:rPr>
          <w:rFonts w:hint="eastAsia" w:ascii="仿宋_GB2312" w:hAnsi="仿宋" w:eastAsia="仿宋_GB2312" w:cs="仿宋_GB2312"/>
          <w:color w:val="000000"/>
          <w:kern w:val="0"/>
          <w:sz w:val="32"/>
          <w:szCs w:val="32"/>
        </w:rPr>
        <w:t>年部门整体支出绩效自评结论：优。</w:t>
      </w:r>
    </w:p>
    <w:p>
      <w:pPr>
        <w:widowControl/>
        <w:shd w:val="clear" w:color="auto" w:fill="FFFFFF"/>
        <w:autoSpaceDE w:val="0"/>
        <w:spacing w:line="520" w:lineRule="exact"/>
        <w:ind w:firstLine="640"/>
        <w:jc w:val="left"/>
        <w:rPr>
          <w:rFonts w:ascii="宋体"/>
          <w:b/>
          <w:bCs/>
          <w:color w:val="222222"/>
          <w:kern w:val="0"/>
          <w:sz w:val="32"/>
          <w:szCs w:val="32"/>
        </w:rPr>
      </w:pPr>
      <w:r>
        <w:rPr>
          <w:rFonts w:hint="eastAsia" w:ascii="宋体" w:hAnsi="宋体" w:cs="宋体"/>
          <w:b/>
          <w:bCs/>
          <w:color w:val="222222"/>
          <w:kern w:val="0"/>
          <w:sz w:val="32"/>
          <w:szCs w:val="32"/>
        </w:rPr>
        <w:t>六、存在的主要问题。</w:t>
      </w:r>
    </w:p>
    <w:p>
      <w:pPr>
        <w:widowControl/>
        <w:shd w:val="clear" w:color="auto" w:fill="FFFFFF"/>
        <w:autoSpaceDE w:val="0"/>
        <w:spacing w:line="520" w:lineRule="exact"/>
        <w:ind w:firstLine="640"/>
        <w:jc w:val="left"/>
        <w:rPr>
          <w:rFonts w:ascii="仿宋_GB2312" w:hAnsi="仿宋" w:eastAsia="仿宋_GB2312"/>
          <w:color w:val="222222"/>
          <w:kern w:val="0"/>
          <w:sz w:val="32"/>
          <w:szCs w:val="32"/>
        </w:rPr>
      </w:pPr>
      <w:r>
        <w:rPr>
          <w:rFonts w:ascii="仿宋_GB2312" w:hAnsi="仿宋" w:eastAsia="仿宋_GB2312" w:cs="仿宋_GB2312"/>
          <w:color w:val="222222"/>
          <w:kern w:val="0"/>
          <w:sz w:val="32"/>
          <w:szCs w:val="32"/>
        </w:rPr>
        <w:t>1</w:t>
      </w:r>
      <w:r>
        <w:rPr>
          <w:rFonts w:hint="eastAsia" w:ascii="仿宋_GB2312" w:hAnsi="仿宋" w:eastAsia="仿宋_GB2312" w:cs="仿宋_GB2312"/>
          <w:color w:val="222222"/>
          <w:kern w:val="0"/>
          <w:sz w:val="32"/>
          <w:szCs w:val="32"/>
        </w:rPr>
        <w:t>、预算编制的精准性、合理性有待提高，预算执行中存在偏差。</w:t>
      </w:r>
    </w:p>
    <w:p>
      <w:pPr>
        <w:widowControl/>
        <w:shd w:val="clear" w:color="auto" w:fill="FFFFFF"/>
        <w:autoSpaceDE w:val="0"/>
        <w:spacing w:line="520" w:lineRule="exact"/>
        <w:ind w:firstLine="640"/>
        <w:jc w:val="left"/>
        <w:rPr>
          <w:rFonts w:ascii="仿宋_GB2312" w:hAnsi="仿宋" w:eastAsia="仿宋_GB2312"/>
          <w:color w:val="222222"/>
          <w:kern w:val="0"/>
          <w:sz w:val="32"/>
          <w:szCs w:val="32"/>
        </w:rPr>
      </w:pPr>
      <w:r>
        <w:rPr>
          <w:rFonts w:ascii="仿宋_GB2312" w:hAnsi="仿宋" w:eastAsia="仿宋_GB2312" w:cs="仿宋_GB2312"/>
          <w:color w:val="222222"/>
          <w:kern w:val="0"/>
          <w:sz w:val="32"/>
          <w:szCs w:val="32"/>
        </w:rPr>
        <w:t>2</w:t>
      </w:r>
      <w:r>
        <w:rPr>
          <w:rFonts w:hint="eastAsia" w:ascii="仿宋_GB2312" w:hAnsi="仿宋" w:eastAsia="仿宋_GB2312" w:cs="仿宋_GB2312"/>
          <w:color w:val="222222"/>
          <w:kern w:val="0"/>
          <w:sz w:val="32"/>
          <w:szCs w:val="32"/>
        </w:rPr>
        <w:t>、资金使用效益有待进一步提高。</w:t>
      </w:r>
    </w:p>
    <w:p>
      <w:pPr>
        <w:widowControl/>
        <w:shd w:val="clear" w:color="auto" w:fill="FFFFFF"/>
        <w:autoSpaceDE w:val="0"/>
        <w:spacing w:line="520" w:lineRule="exact"/>
        <w:ind w:firstLine="640"/>
        <w:jc w:val="left"/>
        <w:rPr>
          <w:rFonts w:ascii="仿宋_GB2312" w:hAnsi="仿宋" w:eastAsia="仿宋_GB2312"/>
          <w:color w:val="222222"/>
          <w:kern w:val="0"/>
          <w:sz w:val="32"/>
          <w:szCs w:val="32"/>
        </w:rPr>
      </w:pPr>
      <w:r>
        <w:rPr>
          <w:rFonts w:ascii="仿宋_GB2312" w:hAnsi="仿宋" w:eastAsia="仿宋_GB2312" w:cs="仿宋_GB2312"/>
          <w:color w:val="222222"/>
          <w:kern w:val="0"/>
          <w:sz w:val="32"/>
          <w:szCs w:val="32"/>
        </w:rPr>
        <w:t>3</w:t>
      </w:r>
      <w:r>
        <w:rPr>
          <w:rFonts w:hint="eastAsia" w:ascii="仿宋_GB2312" w:hAnsi="仿宋" w:eastAsia="仿宋_GB2312" w:cs="仿宋_GB2312"/>
          <w:color w:val="222222"/>
          <w:kern w:val="0"/>
          <w:sz w:val="32"/>
          <w:szCs w:val="32"/>
        </w:rPr>
        <w:t>、绩效目标设立不够明确、细化和量化。</w:t>
      </w:r>
    </w:p>
    <w:p>
      <w:pPr>
        <w:widowControl/>
        <w:shd w:val="clear" w:color="auto" w:fill="FFFFFF"/>
        <w:autoSpaceDE w:val="0"/>
        <w:spacing w:line="520" w:lineRule="exact"/>
        <w:ind w:firstLine="640"/>
        <w:jc w:val="left"/>
        <w:rPr>
          <w:rFonts w:ascii="宋体"/>
          <w:b/>
          <w:bCs/>
          <w:color w:val="222222"/>
          <w:kern w:val="0"/>
          <w:sz w:val="32"/>
          <w:szCs w:val="32"/>
        </w:rPr>
      </w:pPr>
      <w:r>
        <w:rPr>
          <w:rFonts w:hint="eastAsia" w:ascii="宋体" w:hAnsi="宋体" w:cs="宋体"/>
          <w:b/>
          <w:bCs/>
          <w:color w:val="222222"/>
          <w:kern w:val="0"/>
          <w:sz w:val="32"/>
          <w:szCs w:val="32"/>
        </w:rPr>
        <w:t>七、改进措施和有关建议</w:t>
      </w:r>
    </w:p>
    <w:p>
      <w:pPr>
        <w:widowControl/>
        <w:shd w:val="clear" w:color="auto" w:fill="FFFFFF"/>
        <w:autoSpaceDE w:val="0"/>
        <w:spacing w:line="520" w:lineRule="exact"/>
        <w:ind w:firstLine="640"/>
        <w:jc w:val="left"/>
        <w:rPr>
          <w:rFonts w:ascii="仿宋_GB2312" w:hAnsi="仿宋" w:eastAsia="仿宋_GB2312"/>
          <w:color w:val="666666"/>
          <w:kern w:val="0"/>
          <w:sz w:val="32"/>
          <w:szCs w:val="32"/>
        </w:rPr>
      </w:pPr>
      <w:r>
        <w:rPr>
          <w:rFonts w:hint="eastAsia" w:ascii="仿宋_GB2312" w:hAnsi="仿宋" w:eastAsia="仿宋_GB2312" w:cs="仿宋_GB2312"/>
          <w:color w:val="222222"/>
          <w:kern w:val="0"/>
          <w:sz w:val="32"/>
          <w:szCs w:val="32"/>
        </w:rPr>
        <w:t>针对上述存在的问题及整体支出管理工作的需要，拟实施的改进措施如下：</w:t>
      </w:r>
    </w:p>
    <w:p>
      <w:pPr>
        <w:pStyle w:val="5"/>
        <w:shd w:val="clear" w:color="auto" w:fill="FFFFFF"/>
        <w:spacing w:before="0" w:beforeAutospacing="0" w:after="0" w:afterAutospacing="0" w:line="520" w:lineRule="exact"/>
        <w:ind w:firstLine="600"/>
        <w:rPr>
          <w:rFonts w:ascii="仿宋_GB2312" w:hAnsi="微软雅黑" w:eastAsia="仿宋_GB2312"/>
          <w:color w:val="313131"/>
          <w:sz w:val="32"/>
          <w:szCs w:val="32"/>
        </w:rPr>
      </w:pPr>
      <w:r>
        <w:rPr>
          <w:rFonts w:ascii="仿宋_GB2312" w:eastAsia="仿宋_GB2312" w:cs="仿宋_GB2312"/>
          <w:sz w:val="32"/>
          <w:szCs w:val="32"/>
        </w:rPr>
        <w:t xml:space="preserve">1. </w:t>
      </w:r>
      <w:r>
        <w:rPr>
          <w:rFonts w:hint="eastAsia" w:ascii="仿宋_GB2312" w:eastAsia="仿宋_GB2312" w:cs="仿宋_GB2312"/>
          <w:sz w:val="32"/>
          <w:szCs w:val="32"/>
        </w:rPr>
        <w:t>细化预算编制工作，</w:t>
      </w:r>
      <w:r>
        <w:rPr>
          <w:rFonts w:hint="eastAsia" w:ascii="仿宋_GB2312" w:hAnsi="微软雅黑" w:eastAsia="仿宋_GB2312" w:cs="仿宋_GB2312"/>
          <w:color w:val="313131"/>
          <w:sz w:val="32"/>
          <w:szCs w:val="32"/>
        </w:rPr>
        <w:t>加强预算执行管理</w:t>
      </w:r>
      <w:r>
        <w:rPr>
          <w:rFonts w:ascii="仿宋_GB2312" w:hAnsi="Î¢ÈíÑÅºÚ Western" w:eastAsia="仿宋_GB2312"/>
          <w:color w:val="313131"/>
          <w:sz w:val="32"/>
          <w:szCs w:val="32"/>
        </w:rPr>
        <w:t> </w:t>
      </w:r>
      <w:r>
        <w:rPr>
          <w:rFonts w:hint="eastAsia" w:ascii="仿宋_GB2312" w:hAnsi="微软雅黑" w:eastAsia="仿宋_GB2312" w:cs="仿宋_GB2312"/>
          <w:color w:val="313131"/>
          <w:sz w:val="32"/>
          <w:szCs w:val="32"/>
        </w:rPr>
        <w:t>和监控。</w:t>
      </w:r>
      <w:r>
        <w:rPr>
          <w:rFonts w:hint="eastAsia" w:ascii="仿宋_GB2312" w:eastAsia="仿宋_GB2312" w:cs="仿宋_GB2312"/>
          <w:sz w:val="32"/>
          <w:szCs w:val="32"/>
        </w:rPr>
        <w:t>进一步加强内部预算管理意识，严格按照预算编制的相关制度和要求进行预算编制；全面编制预算项目，优先保障固定性的、相对刚性的费用支出项目，尽量压缩变动性的、有控制空间的费用项目，进一步提高预算编制的科学性、严谨性和可控性。</w:t>
      </w:r>
      <w:r>
        <w:rPr>
          <w:rFonts w:hint="eastAsia" w:ascii="仿宋_GB2312" w:hAnsi="微软雅黑" w:eastAsia="仿宋_GB2312" w:cs="仿宋_GB2312"/>
          <w:color w:val="313131"/>
          <w:sz w:val="32"/>
          <w:szCs w:val="32"/>
        </w:rPr>
        <w:t>遵循预算管理办法，从严控制年中追加预算规模。</w:t>
      </w:r>
      <w:r>
        <w:rPr>
          <w:rFonts w:ascii="仿宋_GB2312" w:hAnsi="Î¢ÈíÑÅºÚ Western" w:eastAsia="仿宋_GB2312"/>
          <w:color w:val="313131"/>
          <w:sz w:val="32"/>
          <w:szCs w:val="32"/>
        </w:rPr>
        <w:t> </w:t>
      </w:r>
      <w:r>
        <w:rPr>
          <w:rFonts w:hint="eastAsia" w:ascii="仿宋_GB2312" w:hAnsi="微软雅黑" w:eastAsia="仿宋_GB2312" w:cs="仿宋_GB2312"/>
          <w:color w:val="313131"/>
          <w:sz w:val="32"/>
          <w:szCs w:val="32"/>
        </w:rPr>
        <w:t>加快项目实施进度的推进，加强项目开展进度的跟踪，开展项目绩效评价，确保项目绩效目标的完成，发挥资金的使用效益。</w:t>
      </w:r>
      <w:r>
        <w:rPr>
          <w:rFonts w:ascii="仿宋_GB2312" w:hAnsi="Î¢ÈíÑÅºÚ Western" w:eastAsia="仿宋_GB2312"/>
          <w:color w:val="313131"/>
          <w:sz w:val="32"/>
          <w:szCs w:val="32"/>
        </w:rPr>
        <w:t> </w:t>
      </w:r>
    </w:p>
    <w:p>
      <w:pPr>
        <w:widowControl/>
        <w:shd w:val="clear" w:color="auto" w:fill="FFFFFF"/>
        <w:autoSpaceDE w:val="0"/>
        <w:spacing w:line="520" w:lineRule="exact"/>
        <w:ind w:firstLine="640"/>
        <w:jc w:val="left"/>
        <w:rPr>
          <w:rFonts w:ascii="仿宋_GB2312" w:hAnsi="仿宋" w:eastAsia="仿宋_GB2312"/>
          <w:color w:val="666666"/>
          <w:kern w:val="0"/>
          <w:sz w:val="32"/>
          <w:szCs w:val="32"/>
        </w:rPr>
      </w:pPr>
      <w:r>
        <w:rPr>
          <w:rFonts w:ascii="仿宋_GB2312" w:hAnsi="仿宋" w:eastAsia="仿宋_GB2312" w:cs="仿宋_GB2312"/>
          <w:color w:val="222222"/>
          <w:kern w:val="0"/>
          <w:sz w:val="32"/>
          <w:szCs w:val="32"/>
        </w:rPr>
        <w:t xml:space="preserve">2. </w:t>
      </w:r>
      <w:r>
        <w:rPr>
          <w:rFonts w:hint="eastAsia" w:ascii="仿宋_GB2312" w:hAnsi="仿宋" w:eastAsia="仿宋_GB2312" w:cs="仿宋_GB2312"/>
          <w:color w:val="222222"/>
          <w:kern w:val="0"/>
          <w:sz w:val="32"/>
          <w:szCs w:val="32"/>
        </w:rPr>
        <w:t>加强财务管理，严格财务审核。在费用报账支付时，按照预算规定的费用项目和用途进行资金使用审核、列报支付、财务核算，杜绝超支现象的发生。定期做好预算支出财务分析，做好部门整体支出预算评价工作。</w:t>
      </w:r>
    </w:p>
    <w:p>
      <w:pPr>
        <w:widowControl/>
        <w:shd w:val="clear" w:color="auto" w:fill="FFFFFF"/>
        <w:autoSpaceDE w:val="0"/>
        <w:spacing w:line="520" w:lineRule="exact"/>
        <w:ind w:firstLine="640"/>
        <w:jc w:val="left"/>
        <w:rPr>
          <w:rFonts w:ascii="仿宋_GB2312" w:hAnsi="宋体" w:eastAsia="仿宋_GB2312"/>
          <w:color w:val="222222"/>
          <w:kern w:val="0"/>
          <w:sz w:val="32"/>
          <w:szCs w:val="32"/>
        </w:rPr>
      </w:pPr>
      <w:r>
        <w:rPr>
          <w:rFonts w:ascii="仿宋_GB2312" w:hAnsi="仿宋" w:eastAsia="仿宋_GB2312" w:cs="仿宋_GB2312"/>
          <w:color w:val="222222"/>
          <w:kern w:val="0"/>
          <w:sz w:val="32"/>
          <w:szCs w:val="32"/>
        </w:rPr>
        <w:t>3</w:t>
      </w:r>
      <w:r>
        <w:rPr>
          <w:rFonts w:hint="eastAsia" w:ascii="仿宋_GB2312" w:hAnsi="仿宋" w:eastAsia="仿宋_GB2312" w:cs="仿宋_GB2312"/>
          <w:color w:val="222222"/>
          <w:kern w:val="0"/>
          <w:sz w:val="32"/>
          <w:szCs w:val="32"/>
        </w:rPr>
        <w:t>．持续抓好“三公”经费控制管理。严格控制“三公”经费的规模和比例，把关“三公”经费支出的审核、审批，杜绝挪用和挤占其他预算资金行为；进一步细化“三公”经费的管理，合理压缩“三公”经费支出。</w:t>
      </w:r>
    </w:p>
    <w:p>
      <w:pPr>
        <w:spacing w:line="220" w:lineRule="atLeast"/>
        <w:rPr>
          <w:rFonts w:ascii="仿宋_GB2312" w:hAnsi="仿宋" w:eastAsia="仿宋_GB2312"/>
          <w:sz w:val="32"/>
          <w:szCs w:val="32"/>
        </w:rPr>
      </w:pPr>
    </w:p>
    <w:sectPr>
      <w:footerReference r:id="rId4" w:type="default"/>
      <w:pgSz w:w="11906" w:h="16838"/>
      <w:pgMar w:top="1332" w:right="1077" w:bottom="1423"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Î¢ÈíÑÅºÚ Western">
    <w:altName w:val="Arial"/>
    <w:panose1 w:val="00000000000000000000"/>
    <w:charset w:val="00"/>
    <w:family w:val="swiss"/>
    <w:pitch w:val="default"/>
    <w:sig w:usb0="00000000"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rPr>
        <w:rStyle w:val="8"/>
      </w:rPr>
      <w:instrText xml:space="preserve"> PAGE </w:instrText>
    </w:r>
    <w:r>
      <w:fldChar w:fldCharType="separate"/>
    </w:r>
    <w:r>
      <w:rPr>
        <w:rStyle w:val="8"/>
      </w:rPr>
      <w:t>6</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8F2018"/>
    <w:multiLevelType w:val="singleLevel"/>
    <w:tmpl w:val="3F8F2018"/>
    <w:lvl w:ilvl="0" w:tentative="0">
      <w:start w:val="5"/>
      <w:numFmt w:val="chineseCounting"/>
      <w:suff w:val="nothing"/>
      <w:lvlText w:val="第%1部分　"/>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C71"/>
    <w:rsid w:val="00027A9B"/>
    <w:rsid w:val="00077D09"/>
    <w:rsid w:val="000853F4"/>
    <w:rsid w:val="000D7D63"/>
    <w:rsid w:val="00131C28"/>
    <w:rsid w:val="00190FBF"/>
    <w:rsid w:val="001B118A"/>
    <w:rsid w:val="001D5B68"/>
    <w:rsid w:val="0023037B"/>
    <w:rsid w:val="00253475"/>
    <w:rsid w:val="002569A4"/>
    <w:rsid w:val="00261493"/>
    <w:rsid w:val="002E17CB"/>
    <w:rsid w:val="002E1C37"/>
    <w:rsid w:val="0030777D"/>
    <w:rsid w:val="0032150D"/>
    <w:rsid w:val="00394D6B"/>
    <w:rsid w:val="003A2C71"/>
    <w:rsid w:val="003A40B5"/>
    <w:rsid w:val="003B710C"/>
    <w:rsid w:val="00443D44"/>
    <w:rsid w:val="00464D96"/>
    <w:rsid w:val="0049398B"/>
    <w:rsid w:val="004F7DB5"/>
    <w:rsid w:val="00575F50"/>
    <w:rsid w:val="00581504"/>
    <w:rsid w:val="0058212E"/>
    <w:rsid w:val="005E377A"/>
    <w:rsid w:val="00623D78"/>
    <w:rsid w:val="00647CA1"/>
    <w:rsid w:val="00650F92"/>
    <w:rsid w:val="006625D4"/>
    <w:rsid w:val="006F3CCA"/>
    <w:rsid w:val="007001FC"/>
    <w:rsid w:val="00721EC9"/>
    <w:rsid w:val="00744925"/>
    <w:rsid w:val="00746DF9"/>
    <w:rsid w:val="00756A38"/>
    <w:rsid w:val="00775709"/>
    <w:rsid w:val="00777A24"/>
    <w:rsid w:val="007F483B"/>
    <w:rsid w:val="00800257"/>
    <w:rsid w:val="00846861"/>
    <w:rsid w:val="00874410"/>
    <w:rsid w:val="008909BD"/>
    <w:rsid w:val="008B3EBC"/>
    <w:rsid w:val="008B7131"/>
    <w:rsid w:val="008E05E4"/>
    <w:rsid w:val="008F2CF0"/>
    <w:rsid w:val="00915662"/>
    <w:rsid w:val="009411B8"/>
    <w:rsid w:val="00981AED"/>
    <w:rsid w:val="00993F19"/>
    <w:rsid w:val="0099770D"/>
    <w:rsid w:val="00A7480E"/>
    <w:rsid w:val="00A82109"/>
    <w:rsid w:val="00A8643C"/>
    <w:rsid w:val="00AA69A3"/>
    <w:rsid w:val="00AB6BC9"/>
    <w:rsid w:val="00AB7938"/>
    <w:rsid w:val="00AC3385"/>
    <w:rsid w:val="00AE6DA8"/>
    <w:rsid w:val="00AF74F6"/>
    <w:rsid w:val="00B068E5"/>
    <w:rsid w:val="00B26930"/>
    <w:rsid w:val="00B31E8D"/>
    <w:rsid w:val="00B5542E"/>
    <w:rsid w:val="00B647F8"/>
    <w:rsid w:val="00BD58B4"/>
    <w:rsid w:val="00BE7EDF"/>
    <w:rsid w:val="00C666EA"/>
    <w:rsid w:val="00CD4C89"/>
    <w:rsid w:val="00D018D8"/>
    <w:rsid w:val="00D13453"/>
    <w:rsid w:val="00D70B7C"/>
    <w:rsid w:val="00D70D1E"/>
    <w:rsid w:val="00D879CA"/>
    <w:rsid w:val="00D9561F"/>
    <w:rsid w:val="00D962D9"/>
    <w:rsid w:val="00DE67E5"/>
    <w:rsid w:val="00DE7B0F"/>
    <w:rsid w:val="00E032F5"/>
    <w:rsid w:val="00E06A93"/>
    <w:rsid w:val="00E4187D"/>
    <w:rsid w:val="00E746CB"/>
    <w:rsid w:val="00E8125B"/>
    <w:rsid w:val="00ED0475"/>
    <w:rsid w:val="00EE343A"/>
    <w:rsid w:val="00EE3E93"/>
    <w:rsid w:val="00F06192"/>
    <w:rsid w:val="00F7341D"/>
    <w:rsid w:val="00F819D5"/>
    <w:rsid w:val="00F90587"/>
    <w:rsid w:val="00F94398"/>
    <w:rsid w:val="00F959E2"/>
    <w:rsid w:val="00FA7E17"/>
    <w:rsid w:val="00FA7E8F"/>
    <w:rsid w:val="04A86E54"/>
    <w:rsid w:val="04CB7B4E"/>
    <w:rsid w:val="05C90DB1"/>
    <w:rsid w:val="05C97D39"/>
    <w:rsid w:val="06663F7F"/>
    <w:rsid w:val="09861895"/>
    <w:rsid w:val="0AD3584D"/>
    <w:rsid w:val="0C1339D0"/>
    <w:rsid w:val="0D0C6C34"/>
    <w:rsid w:val="0EFC72B8"/>
    <w:rsid w:val="0F3811A7"/>
    <w:rsid w:val="0F58566E"/>
    <w:rsid w:val="0F8D5E06"/>
    <w:rsid w:val="103F70BB"/>
    <w:rsid w:val="10E53E85"/>
    <w:rsid w:val="11965653"/>
    <w:rsid w:val="11D26593"/>
    <w:rsid w:val="131F1D91"/>
    <w:rsid w:val="132942B7"/>
    <w:rsid w:val="1396281D"/>
    <w:rsid w:val="14BA10D8"/>
    <w:rsid w:val="1546390E"/>
    <w:rsid w:val="15465CE9"/>
    <w:rsid w:val="17097FC5"/>
    <w:rsid w:val="1877219E"/>
    <w:rsid w:val="187A0270"/>
    <w:rsid w:val="197B6D18"/>
    <w:rsid w:val="1987174A"/>
    <w:rsid w:val="1A372DCC"/>
    <w:rsid w:val="1A6F2C55"/>
    <w:rsid w:val="1AB87623"/>
    <w:rsid w:val="1B1D7E13"/>
    <w:rsid w:val="1C102923"/>
    <w:rsid w:val="1C741DE1"/>
    <w:rsid w:val="1C8E188D"/>
    <w:rsid w:val="1CC25B24"/>
    <w:rsid w:val="1D7D4FC2"/>
    <w:rsid w:val="1DEE5166"/>
    <w:rsid w:val="1E9C4B71"/>
    <w:rsid w:val="1EA34549"/>
    <w:rsid w:val="1FA427FC"/>
    <w:rsid w:val="1FEA2CC0"/>
    <w:rsid w:val="1FFE39A8"/>
    <w:rsid w:val="2000735C"/>
    <w:rsid w:val="204E58D9"/>
    <w:rsid w:val="21652BEC"/>
    <w:rsid w:val="22731A69"/>
    <w:rsid w:val="232E3D1E"/>
    <w:rsid w:val="24A65934"/>
    <w:rsid w:val="24F51CD3"/>
    <w:rsid w:val="251100E6"/>
    <w:rsid w:val="25391DB7"/>
    <w:rsid w:val="2761288F"/>
    <w:rsid w:val="285A5778"/>
    <w:rsid w:val="2A9E4FFB"/>
    <w:rsid w:val="2D1B0EF6"/>
    <w:rsid w:val="2D5F0606"/>
    <w:rsid w:val="2F170ACC"/>
    <w:rsid w:val="30EB0908"/>
    <w:rsid w:val="3294768D"/>
    <w:rsid w:val="33BE68C1"/>
    <w:rsid w:val="33F34482"/>
    <w:rsid w:val="3404539E"/>
    <w:rsid w:val="343338C1"/>
    <w:rsid w:val="34606800"/>
    <w:rsid w:val="34C65CBE"/>
    <w:rsid w:val="36614C77"/>
    <w:rsid w:val="37900CFB"/>
    <w:rsid w:val="38D571B5"/>
    <w:rsid w:val="39C36EE8"/>
    <w:rsid w:val="3A1B5743"/>
    <w:rsid w:val="3A6B55CB"/>
    <w:rsid w:val="3B0D0E23"/>
    <w:rsid w:val="3B8752DD"/>
    <w:rsid w:val="3C6376C6"/>
    <w:rsid w:val="3CFA7884"/>
    <w:rsid w:val="3E0C3683"/>
    <w:rsid w:val="3E6E66AB"/>
    <w:rsid w:val="3EF75D86"/>
    <w:rsid w:val="3FA252E3"/>
    <w:rsid w:val="40633ACC"/>
    <w:rsid w:val="4104086C"/>
    <w:rsid w:val="41E066D3"/>
    <w:rsid w:val="41E44B6B"/>
    <w:rsid w:val="42EC7A32"/>
    <w:rsid w:val="445028DD"/>
    <w:rsid w:val="445E418D"/>
    <w:rsid w:val="44730EED"/>
    <w:rsid w:val="47B37AAC"/>
    <w:rsid w:val="496B7D3D"/>
    <w:rsid w:val="49C354DB"/>
    <w:rsid w:val="49E94C7B"/>
    <w:rsid w:val="4A175A49"/>
    <w:rsid w:val="4A3F2219"/>
    <w:rsid w:val="4DA10A4A"/>
    <w:rsid w:val="4ECC73B3"/>
    <w:rsid w:val="4F256B03"/>
    <w:rsid w:val="4FE64786"/>
    <w:rsid w:val="502006E7"/>
    <w:rsid w:val="50C9585F"/>
    <w:rsid w:val="51260E31"/>
    <w:rsid w:val="51472CAB"/>
    <w:rsid w:val="517E7614"/>
    <w:rsid w:val="51832A47"/>
    <w:rsid w:val="518C351C"/>
    <w:rsid w:val="519630E0"/>
    <w:rsid w:val="51B352B3"/>
    <w:rsid w:val="52276121"/>
    <w:rsid w:val="52A35AC7"/>
    <w:rsid w:val="52B8515B"/>
    <w:rsid w:val="52FD06C6"/>
    <w:rsid w:val="534F7D2E"/>
    <w:rsid w:val="53784174"/>
    <w:rsid w:val="541E79D8"/>
    <w:rsid w:val="542B5FB2"/>
    <w:rsid w:val="54591220"/>
    <w:rsid w:val="548817C8"/>
    <w:rsid w:val="555D75E8"/>
    <w:rsid w:val="581B24AE"/>
    <w:rsid w:val="596B2AD6"/>
    <w:rsid w:val="59E92E7F"/>
    <w:rsid w:val="5A1D2D21"/>
    <w:rsid w:val="5A3D4BB1"/>
    <w:rsid w:val="5B3B75DD"/>
    <w:rsid w:val="5B737513"/>
    <w:rsid w:val="5BD94961"/>
    <w:rsid w:val="5D297E52"/>
    <w:rsid w:val="5E204032"/>
    <w:rsid w:val="5F114C54"/>
    <w:rsid w:val="60A25FC6"/>
    <w:rsid w:val="61FA3FA9"/>
    <w:rsid w:val="626558A6"/>
    <w:rsid w:val="63404285"/>
    <w:rsid w:val="635F46AD"/>
    <w:rsid w:val="63722537"/>
    <w:rsid w:val="647108AD"/>
    <w:rsid w:val="64B97A9B"/>
    <w:rsid w:val="650E2398"/>
    <w:rsid w:val="678F1D08"/>
    <w:rsid w:val="67A04CC8"/>
    <w:rsid w:val="67F45AC9"/>
    <w:rsid w:val="68941874"/>
    <w:rsid w:val="6C2C0A50"/>
    <w:rsid w:val="6C305BCC"/>
    <w:rsid w:val="6D767CCE"/>
    <w:rsid w:val="6D922B2A"/>
    <w:rsid w:val="6DF65E0C"/>
    <w:rsid w:val="71AC5E15"/>
    <w:rsid w:val="722859A4"/>
    <w:rsid w:val="73531E59"/>
    <w:rsid w:val="7374634A"/>
    <w:rsid w:val="739707EC"/>
    <w:rsid w:val="7465467A"/>
    <w:rsid w:val="746F45A7"/>
    <w:rsid w:val="75DD5B50"/>
    <w:rsid w:val="76335F71"/>
    <w:rsid w:val="768F4F0F"/>
    <w:rsid w:val="78BA2756"/>
    <w:rsid w:val="79C845FB"/>
    <w:rsid w:val="79E355B3"/>
    <w:rsid w:val="7B8D081A"/>
    <w:rsid w:val="7BAC77F4"/>
    <w:rsid w:val="7BF33D31"/>
    <w:rsid w:val="7D55364F"/>
    <w:rsid w:val="7D7E1E92"/>
    <w:rsid w:val="7DA91F46"/>
    <w:rsid w:val="7E601627"/>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99"/>
    <w:pPr>
      <w:ind w:firstLine="600" w:firstLineChars="200"/>
    </w:pPr>
    <w:rPr>
      <w:rFonts w:eastAsia="仿宋_GB2312"/>
      <w:sz w:val="30"/>
      <w:szCs w:val="3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8">
    <w:name w:val="page number"/>
    <w:basedOn w:val="7"/>
    <w:qFormat/>
    <w:uiPriority w:val="0"/>
  </w:style>
  <w:style w:type="character" w:styleId="9">
    <w:name w:val="Hyperlink"/>
    <w:basedOn w:val="7"/>
    <w:qFormat/>
    <w:uiPriority w:val="0"/>
    <w:rPr>
      <w:color w:val="0000FF"/>
      <w:u w:val="single"/>
    </w:rPr>
  </w:style>
  <w:style w:type="character" w:customStyle="1" w:styleId="10">
    <w:name w:val="NormalCharacter"/>
    <w:semiHidden/>
    <w:qFormat/>
    <w:uiPriority w:val="0"/>
  </w:style>
  <w:style w:type="paragraph" w:customStyle="1" w:styleId="11">
    <w:name w:val="Normal1"/>
    <w:basedOn w:val="1"/>
    <w:qFormat/>
    <w:uiPriority w:val="0"/>
    <w:pPr>
      <w:widowControl/>
      <w:jc w:val="left"/>
    </w:pPr>
    <w:rPr>
      <w:rFonts w:ascii="宋体" w:hAnsi="宋体"/>
      <w:kern w:val="0"/>
      <w:sz w:val="20"/>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微软用户</Company>
  <Pages>21</Pages>
  <Words>6244</Words>
  <Characters>765</Characters>
  <Lines>6</Lines>
  <Paragraphs>13</Paragraphs>
  <TotalTime>3</TotalTime>
  <ScaleCrop>false</ScaleCrop>
  <LinksUpToDate>false</LinksUpToDate>
  <CharactersWithSpaces>6996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2001-12-31T17:34:00Z</dcterms:created>
  <dc:creator>微软中国</dc:creator>
  <cp:lastModifiedBy>l</cp:lastModifiedBy>
  <cp:lastPrinted>2019-08-14T07:09:00Z</cp:lastPrinted>
  <dcterms:modified xsi:type="dcterms:W3CDTF">2021-06-07T08:11:22Z</dcterms:modified>
  <dc:title>东安县财政局关于做好2016年度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946781256A4E4A38BEC1B9489C58C7DE</vt:lpwstr>
  </property>
</Properties>
</file>