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仿宋_GB2312"/>
          <w:b/>
          <w:sz w:val="36"/>
          <w:szCs w:val="36"/>
        </w:rPr>
      </w:pPr>
      <w:bookmarkStart w:id="0" w:name="_GoBack"/>
      <w:bookmarkEnd w:id="0"/>
      <w:r>
        <w:rPr>
          <w:rFonts w:eastAsia="仿宋_GB2312"/>
          <w:b/>
          <w:sz w:val="36"/>
          <w:szCs w:val="36"/>
        </w:rPr>
        <w:t>2017</w:t>
      </w:r>
      <w:r>
        <w:rPr>
          <w:rFonts w:hint="eastAsia" w:eastAsia="仿宋_GB2312"/>
          <w:b/>
          <w:sz w:val="36"/>
          <w:szCs w:val="36"/>
        </w:rPr>
        <w:t>年度东安县疾病预防控制中心部门整体支出绩效评价报告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仿宋_GB2312"/>
          <w:b/>
          <w:sz w:val="32"/>
          <w:szCs w:val="32"/>
        </w:rPr>
      </w:pPr>
      <w:r>
        <w:rPr>
          <w:rFonts w:hint="eastAsia" w:eastAsia="黑体"/>
          <w:sz w:val="32"/>
          <w:szCs w:val="32"/>
        </w:rPr>
        <w:t>一、</w:t>
      </w:r>
      <w:r>
        <w:rPr>
          <w:rFonts w:hint="eastAsia" w:eastAsia="仿宋_GB2312"/>
          <w:b/>
          <w:sz w:val="32"/>
          <w:szCs w:val="32"/>
        </w:rPr>
        <w:t>部门概况</w:t>
      </w:r>
    </w:p>
    <w:p>
      <w:pPr>
        <w:ind w:firstLine="630" w:firstLineChars="196"/>
        <w:rPr>
          <w:rFonts w:ascii="仿宋_GB2312" w:eastAsia="仿宋_GB2312"/>
          <w:b/>
          <w:sz w:val="32"/>
          <w:szCs w:val="32"/>
        </w:rPr>
      </w:pPr>
      <w:r>
        <w:rPr>
          <w:rFonts w:hint="eastAsia" w:ascii="仿宋_GB2312" w:eastAsia="仿宋_GB2312"/>
          <w:b/>
          <w:sz w:val="32"/>
          <w:szCs w:val="32"/>
        </w:rPr>
        <w:t>（一）部门机构设置、职能</w:t>
      </w:r>
    </w:p>
    <w:p>
      <w:pPr>
        <w:ind w:firstLine="551" w:firstLineChars="196"/>
        <w:rPr>
          <w:rFonts w:ascii="仿宋_GB2312" w:hAnsi="Gulimfalt" w:eastAsia="仿宋_GB2312"/>
          <w:sz w:val="28"/>
          <w:szCs w:val="28"/>
        </w:rPr>
      </w:pPr>
      <w:r>
        <w:rPr>
          <w:rFonts w:hint="eastAsia" w:ascii="仿宋_GB2312" w:hAnsi="Gulimfalt" w:eastAsia="仿宋_GB2312"/>
          <w:b/>
          <w:sz w:val="28"/>
          <w:szCs w:val="28"/>
        </w:rPr>
        <w:t>东安县疾病预防中心属财政全额拨款的副科级全民事业单位，设职能科室和业务科室，其中职能科室又分为办公室、财务室、健康教育科、质量管理科；业务科室又分为职业危害因素控制科、疾病控制科、检验科、免疫规划科、性病艾滋病防治科、结核病控制科、预防医学门诊部、卫生监测科</w:t>
      </w:r>
      <w:r>
        <w:rPr>
          <w:rFonts w:hint="eastAsia" w:ascii="仿宋_GB2312" w:hAnsi="Gulimfalt" w:eastAsia="仿宋_GB2312"/>
          <w:sz w:val="28"/>
          <w:szCs w:val="28"/>
        </w:rPr>
        <w:t>。</w:t>
      </w:r>
    </w:p>
    <w:p>
      <w:pPr>
        <w:ind w:firstLine="630" w:firstLineChars="196"/>
        <w:rPr>
          <w:rFonts w:ascii="仿宋_GB2312" w:eastAsia="仿宋_GB2312"/>
          <w:b/>
          <w:sz w:val="32"/>
          <w:szCs w:val="32"/>
        </w:rPr>
      </w:pPr>
      <w:r>
        <w:rPr>
          <w:rFonts w:hint="eastAsia" w:ascii="仿宋_GB2312" w:eastAsia="仿宋_GB2312"/>
          <w:b/>
          <w:sz w:val="32"/>
          <w:szCs w:val="32"/>
        </w:rPr>
        <w:t>（二）人员构成情况</w:t>
      </w:r>
    </w:p>
    <w:p>
      <w:pPr>
        <w:spacing w:line="600" w:lineRule="exact"/>
        <w:ind w:firstLine="422" w:firstLineChars="150"/>
        <w:rPr>
          <w:rFonts w:ascii="仿宋_GB2312" w:hAnsi="Gulimfalt" w:eastAsia="仿宋_GB2312"/>
          <w:b/>
          <w:sz w:val="28"/>
          <w:szCs w:val="28"/>
        </w:rPr>
      </w:pPr>
      <w:r>
        <w:rPr>
          <w:rFonts w:hint="eastAsia" w:ascii="仿宋_GB2312" w:hAnsi="Gulimfalt" w:eastAsia="仿宋_GB2312"/>
          <w:b/>
          <w:sz w:val="28"/>
          <w:szCs w:val="28"/>
        </w:rPr>
        <w:t>目前现有在职人员</w:t>
      </w:r>
      <w:r>
        <w:rPr>
          <w:rFonts w:ascii="仿宋_GB2312" w:hAnsi="Gulimfalt" w:eastAsia="仿宋_GB2312"/>
          <w:b/>
          <w:sz w:val="28"/>
          <w:szCs w:val="28"/>
        </w:rPr>
        <w:t>71</w:t>
      </w:r>
      <w:r>
        <w:rPr>
          <w:rFonts w:hint="eastAsia" w:ascii="仿宋_GB2312" w:hAnsi="Gulimfalt" w:eastAsia="仿宋_GB2312"/>
          <w:b/>
          <w:sz w:val="28"/>
          <w:szCs w:val="28"/>
        </w:rPr>
        <w:t>人，退休人员</w:t>
      </w:r>
      <w:r>
        <w:rPr>
          <w:rFonts w:ascii="仿宋_GB2312" w:hAnsi="Gulimfalt" w:eastAsia="仿宋_GB2312"/>
          <w:b/>
          <w:sz w:val="28"/>
          <w:szCs w:val="28"/>
        </w:rPr>
        <w:t>24</w:t>
      </w:r>
      <w:r>
        <w:rPr>
          <w:rFonts w:hint="eastAsia" w:ascii="仿宋_GB2312" w:hAnsi="Gulimfalt" w:eastAsia="仿宋_GB2312"/>
          <w:b/>
          <w:sz w:val="28"/>
          <w:szCs w:val="28"/>
        </w:rPr>
        <w:t>人，另有临时工</w:t>
      </w:r>
      <w:r>
        <w:rPr>
          <w:rFonts w:ascii="仿宋_GB2312" w:hAnsi="Gulimfalt" w:eastAsia="仿宋_GB2312"/>
          <w:b/>
          <w:sz w:val="28"/>
          <w:szCs w:val="28"/>
        </w:rPr>
        <w:t>2</w:t>
      </w:r>
      <w:r>
        <w:rPr>
          <w:rFonts w:hint="eastAsia" w:ascii="仿宋_GB2312" w:hAnsi="Gulimfalt" w:eastAsia="仿宋_GB2312"/>
          <w:b/>
          <w:sz w:val="28"/>
          <w:szCs w:val="28"/>
        </w:rPr>
        <w:t>人，共计</w:t>
      </w:r>
      <w:r>
        <w:rPr>
          <w:rFonts w:ascii="仿宋_GB2312" w:hAnsi="Gulimfalt" w:eastAsia="仿宋_GB2312"/>
          <w:b/>
          <w:sz w:val="28"/>
          <w:szCs w:val="28"/>
        </w:rPr>
        <w:t>97</w:t>
      </w:r>
      <w:r>
        <w:rPr>
          <w:rFonts w:hint="eastAsia" w:ascii="仿宋_GB2312" w:hAnsi="Gulimfalt" w:eastAsia="仿宋_GB2312"/>
          <w:b/>
          <w:sz w:val="28"/>
          <w:szCs w:val="28"/>
        </w:rPr>
        <w:t>人。我中心实有车辆</w:t>
      </w:r>
      <w:r>
        <w:rPr>
          <w:rFonts w:ascii="仿宋_GB2312" w:hAnsi="Gulimfalt" w:eastAsia="仿宋_GB2312"/>
          <w:b/>
          <w:sz w:val="28"/>
          <w:szCs w:val="28"/>
        </w:rPr>
        <w:t xml:space="preserve">3 </w:t>
      </w:r>
      <w:r>
        <w:rPr>
          <w:rFonts w:hint="eastAsia" w:ascii="仿宋_GB2312" w:hAnsi="Gulimfalt" w:eastAsia="仿宋_GB2312"/>
          <w:b/>
          <w:sz w:val="28"/>
          <w:szCs w:val="28"/>
        </w:rPr>
        <w:t>台。</w:t>
      </w:r>
    </w:p>
    <w:p>
      <w:pPr>
        <w:adjustRightInd w:val="0"/>
        <w:snapToGrid w:val="0"/>
        <w:spacing w:line="600" w:lineRule="exact"/>
        <w:ind w:firstLine="640" w:firstLineChars="200"/>
        <w:rPr>
          <w:rFonts w:eastAsia="仿宋_GB2312"/>
          <w:b/>
          <w:sz w:val="32"/>
          <w:szCs w:val="32"/>
        </w:rPr>
      </w:pPr>
      <w:r>
        <w:rPr>
          <w:rFonts w:hint="eastAsia" w:eastAsia="黑体"/>
          <w:sz w:val="32"/>
          <w:szCs w:val="32"/>
        </w:rPr>
        <w:t>二、</w:t>
      </w:r>
      <w:r>
        <w:rPr>
          <w:rFonts w:hint="eastAsia" w:eastAsia="仿宋_GB2312"/>
          <w:b/>
          <w:sz w:val="32"/>
          <w:szCs w:val="32"/>
        </w:rPr>
        <w:t>部门整体支出使用情况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spacing w:line="600" w:lineRule="exact"/>
        <w:ind w:firstLine="422" w:firstLineChars="150"/>
        <w:rPr>
          <w:rFonts w:ascii="仿宋_GB2312" w:hAnsi="Gulimfalt" w:eastAsia="仿宋_GB2312"/>
          <w:b/>
          <w:sz w:val="28"/>
          <w:szCs w:val="28"/>
        </w:rPr>
      </w:pPr>
      <w:r>
        <w:rPr>
          <w:rFonts w:ascii="仿宋_GB2312" w:hAnsi="Gulimfalt" w:eastAsia="仿宋_GB2312"/>
          <w:b/>
          <w:sz w:val="28"/>
          <w:szCs w:val="28"/>
        </w:rPr>
        <w:t>2017</w:t>
      </w:r>
      <w:r>
        <w:rPr>
          <w:rFonts w:hint="eastAsia" w:ascii="仿宋_GB2312" w:hAnsi="Gulimfalt" w:eastAsia="仿宋_GB2312"/>
          <w:b/>
          <w:sz w:val="28"/>
          <w:szCs w:val="28"/>
        </w:rPr>
        <w:t>年基本支出</w:t>
      </w:r>
      <w:r>
        <w:rPr>
          <w:rFonts w:ascii="仿宋_GB2312" w:hAnsi="Gulimfalt" w:eastAsia="仿宋_GB2312"/>
          <w:b/>
          <w:sz w:val="28"/>
          <w:szCs w:val="28"/>
        </w:rPr>
        <w:t>1009</w:t>
      </w:r>
      <w:r>
        <w:rPr>
          <w:rFonts w:hint="eastAsia" w:ascii="仿宋_GB2312" w:hAnsi="Gulimfalt" w:eastAsia="仿宋_GB2312"/>
          <w:b/>
          <w:sz w:val="28"/>
          <w:szCs w:val="28"/>
        </w:rPr>
        <w:t>万元，财政拨款支出</w:t>
      </w:r>
      <w:r>
        <w:rPr>
          <w:rFonts w:ascii="仿宋_GB2312" w:hAnsi="Gulimfalt" w:eastAsia="仿宋_GB2312"/>
          <w:b/>
          <w:sz w:val="28"/>
          <w:szCs w:val="28"/>
        </w:rPr>
        <w:t>1009</w:t>
      </w:r>
      <w:r>
        <w:rPr>
          <w:rFonts w:hint="eastAsia" w:ascii="仿宋_GB2312" w:hAnsi="Gulimfalt" w:eastAsia="仿宋_GB2312"/>
          <w:b/>
          <w:sz w:val="28"/>
          <w:szCs w:val="28"/>
        </w:rPr>
        <w:t>万元。</w:t>
      </w:r>
    </w:p>
    <w:p>
      <w:pPr>
        <w:spacing w:line="600" w:lineRule="exact"/>
        <w:ind w:firstLine="422" w:firstLineChars="150"/>
        <w:rPr>
          <w:rFonts w:ascii="仿宋_GB2312" w:hAnsi="Gulimfalt" w:eastAsia="仿宋_GB2312"/>
          <w:b/>
          <w:sz w:val="28"/>
          <w:szCs w:val="28"/>
        </w:rPr>
      </w:pPr>
      <w:r>
        <w:rPr>
          <w:rFonts w:ascii="仿宋_GB2312" w:hAnsi="Gulimfalt" w:eastAsia="仿宋_GB2312"/>
          <w:b/>
          <w:sz w:val="28"/>
          <w:szCs w:val="28"/>
        </w:rPr>
        <w:t>2017</w:t>
      </w:r>
      <w:r>
        <w:rPr>
          <w:rFonts w:hint="eastAsia" w:ascii="仿宋_GB2312" w:hAnsi="Gulimfalt" w:eastAsia="仿宋_GB2312"/>
          <w:b/>
          <w:sz w:val="28"/>
          <w:szCs w:val="28"/>
        </w:rPr>
        <w:t>年财政拨款支出按用途划分，基本支出</w:t>
      </w:r>
      <w:r>
        <w:rPr>
          <w:rFonts w:ascii="仿宋_GB2312" w:hAnsi="Gulimfalt" w:eastAsia="仿宋_GB2312"/>
          <w:b/>
          <w:sz w:val="28"/>
          <w:szCs w:val="28"/>
        </w:rPr>
        <w:t>920</w:t>
      </w:r>
      <w:r>
        <w:rPr>
          <w:rFonts w:hint="eastAsia" w:ascii="仿宋_GB2312" w:hAnsi="Gulimfalt" w:eastAsia="仿宋_GB2312"/>
          <w:b/>
          <w:sz w:val="28"/>
          <w:szCs w:val="28"/>
        </w:rPr>
        <w:t>万元，其中工资和福利支出</w:t>
      </w:r>
      <w:r>
        <w:rPr>
          <w:rFonts w:ascii="仿宋_GB2312" w:hAnsi="Gulimfalt" w:eastAsia="仿宋_GB2312"/>
          <w:b/>
          <w:sz w:val="28"/>
          <w:szCs w:val="28"/>
        </w:rPr>
        <w:t>443</w:t>
      </w:r>
      <w:r>
        <w:rPr>
          <w:rFonts w:hint="eastAsia" w:ascii="仿宋_GB2312" w:hAnsi="Gulimfalt" w:eastAsia="仿宋_GB2312"/>
          <w:b/>
          <w:sz w:val="28"/>
          <w:szCs w:val="28"/>
        </w:rPr>
        <w:t>万元；商品和服务支出</w:t>
      </w:r>
      <w:r>
        <w:rPr>
          <w:rFonts w:ascii="仿宋_GB2312" w:hAnsi="Gulimfalt" w:eastAsia="仿宋_GB2312"/>
          <w:b/>
          <w:sz w:val="28"/>
          <w:szCs w:val="28"/>
        </w:rPr>
        <w:t>430</w:t>
      </w:r>
      <w:r>
        <w:rPr>
          <w:rFonts w:hint="eastAsia" w:ascii="仿宋_GB2312" w:hAnsi="Gulimfalt" w:eastAsia="仿宋_GB2312"/>
          <w:b/>
          <w:sz w:val="28"/>
          <w:szCs w:val="28"/>
        </w:rPr>
        <w:t>万元，对个人和家庭的补助支出</w:t>
      </w:r>
      <w:r>
        <w:rPr>
          <w:rFonts w:ascii="仿宋_GB2312" w:hAnsi="Gulimfalt" w:eastAsia="仿宋_GB2312"/>
          <w:b/>
          <w:sz w:val="28"/>
          <w:szCs w:val="28"/>
        </w:rPr>
        <w:t>41</w:t>
      </w:r>
      <w:r>
        <w:rPr>
          <w:rFonts w:hint="eastAsia" w:ascii="仿宋_GB2312" w:hAnsi="Gulimfalt" w:eastAsia="仿宋_GB2312"/>
          <w:b/>
          <w:sz w:val="28"/>
          <w:szCs w:val="28"/>
        </w:rPr>
        <w:t>万元。同比减少了</w:t>
      </w:r>
      <w:r>
        <w:rPr>
          <w:rFonts w:ascii="仿宋_GB2312" w:hAnsi="Gulimfalt" w:eastAsia="仿宋_GB2312"/>
          <w:b/>
          <w:sz w:val="28"/>
          <w:szCs w:val="28"/>
        </w:rPr>
        <w:t>5%</w:t>
      </w:r>
      <w:r>
        <w:rPr>
          <w:rFonts w:hint="eastAsia" w:ascii="仿宋_GB2312" w:hAnsi="Gulimfalt" w:eastAsia="仿宋_GB2312"/>
          <w:b/>
          <w:sz w:val="28"/>
          <w:szCs w:val="28"/>
        </w:rPr>
        <w:t>。</w:t>
      </w:r>
    </w:p>
    <w:p>
      <w:pPr>
        <w:spacing w:line="600" w:lineRule="exact"/>
        <w:ind w:firstLine="422" w:firstLineChars="150"/>
        <w:rPr>
          <w:rFonts w:ascii="仿宋_GB2312" w:hAnsi="Gulimfalt" w:eastAsia="仿宋_GB2312"/>
          <w:b/>
          <w:sz w:val="28"/>
          <w:szCs w:val="28"/>
        </w:rPr>
      </w:pPr>
      <w:r>
        <w:rPr>
          <w:rFonts w:ascii="仿宋_GB2312" w:hAnsi="Gulimfalt" w:eastAsia="仿宋_GB2312"/>
          <w:b/>
          <w:sz w:val="28"/>
          <w:szCs w:val="28"/>
        </w:rPr>
        <w:t>2017</w:t>
      </w:r>
      <w:r>
        <w:rPr>
          <w:rFonts w:hint="eastAsia" w:ascii="仿宋_GB2312" w:hAnsi="Gulimfalt" w:eastAsia="仿宋_GB2312"/>
          <w:b/>
          <w:sz w:val="28"/>
          <w:szCs w:val="28"/>
        </w:rPr>
        <w:t>年“三公经费”财政拨款支出共</w:t>
      </w:r>
      <w:r>
        <w:rPr>
          <w:rFonts w:ascii="仿宋_GB2312" w:hAnsi="Gulimfalt" w:eastAsia="仿宋_GB2312"/>
          <w:b/>
          <w:sz w:val="28"/>
          <w:szCs w:val="28"/>
        </w:rPr>
        <w:t>20.225</w:t>
      </w:r>
      <w:r>
        <w:rPr>
          <w:rFonts w:hint="eastAsia" w:ascii="仿宋_GB2312" w:hAnsi="Gulimfalt" w:eastAsia="仿宋_GB2312"/>
          <w:b/>
          <w:sz w:val="28"/>
          <w:szCs w:val="28"/>
        </w:rPr>
        <w:t>万元，具体情况如下：</w:t>
      </w:r>
    </w:p>
    <w:p>
      <w:pPr>
        <w:spacing w:line="600" w:lineRule="exact"/>
        <w:ind w:firstLine="422" w:firstLineChars="150"/>
        <w:rPr>
          <w:rFonts w:ascii="仿宋_GB2312" w:hAnsi="Gulimfalt" w:eastAsia="仿宋_GB2312"/>
          <w:b/>
          <w:sz w:val="28"/>
          <w:szCs w:val="28"/>
        </w:rPr>
      </w:pPr>
      <w:r>
        <w:rPr>
          <w:rFonts w:ascii="仿宋_GB2312" w:hAnsi="Gulimfalt" w:eastAsia="仿宋_GB2312"/>
          <w:b/>
          <w:sz w:val="28"/>
          <w:szCs w:val="28"/>
        </w:rPr>
        <w:t xml:space="preserve">1. </w:t>
      </w:r>
      <w:r>
        <w:rPr>
          <w:rFonts w:hint="eastAsia" w:ascii="仿宋_GB2312" w:hAnsi="Gulimfalt" w:eastAsia="仿宋_GB2312"/>
          <w:b/>
          <w:sz w:val="28"/>
          <w:szCs w:val="28"/>
        </w:rPr>
        <w:t>因公出国（境）费</w:t>
      </w:r>
      <w:r>
        <w:rPr>
          <w:rFonts w:ascii="仿宋_GB2312" w:hAnsi="Gulimfalt" w:eastAsia="仿宋_GB2312"/>
          <w:b/>
          <w:sz w:val="28"/>
          <w:szCs w:val="28"/>
        </w:rPr>
        <w:t xml:space="preserve"> </w:t>
      </w:r>
      <w:r>
        <w:rPr>
          <w:rFonts w:hint="eastAsia" w:ascii="仿宋_GB2312" w:hAnsi="Gulimfalt" w:eastAsia="仿宋_GB2312"/>
          <w:b/>
          <w:sz w:val="28"/>
          <w:szCs w:val="28"/>
        </w:rPr>
        <w:t>无</w:t>
      </w:r>
      <w:r>
        <w:rPr>
          <w:rFonts w:ascii="仿宋_GB2312" w:hAnsi="Gulimfalt" w:eastAsia="仿宋_GB2312"/>
          <w:b/>
          <w:sz w:val="28"/>
          <w:szCs w:val="28"/>
        </w:rPr>
        <w:t xml:space="preserve"> </w:t>
      </w:r>
      <w:r>
        <w:rPr>
          <w:rFonts w:hint="eastAsia" w:ascii="仿宋_GB2312" w:hAnsi="Gulimfalt" w:eastAsia="仿宋_GB2312"/>
          <w:b/>
          <w:sz w:val="28"/>
          <w:szCs w:val="28"/>
        </w:rPr>
        <w:t>支出；</w:t>
      </w:r>
    </w:p>
    <w:p>
      <w:pPr>
        <w:ind w:firstLine="413" w:firstLineChars="147"/>
        <w:rPr>
          <w:rFonts w:ascii="仿宋_GB2312" w:hAnsi="Gulimfalt" w:eastAsia="仿宋_GB2312"/>
          <w:b/>
          <w:sz w:val="28"/>
          <w:szCs w:val="28"/>
        </w:rPr>
      </w:pPr>
      <w:r>
        <w:rPr>
          <w:rFonts w:ascii="仿宋_GB2312" w:hAnsi="Gulimfalt" w:eastAsia="仿宋_GB2312"/>
          <w:b/>
          <w:sz w:val="28"/>
          <w:szCs w:val="28"/>
        </w:rPr>
        <w:t xml:space="preserve">2. </w:t>
      </w:r>
      <w:r>
        <w:rPr>
          <w:rFonts w:hint="eastAsia" w:ascii="仿宋_GB2312" w:hAnsi="Gulimfalt" w:eastAsia="仿宋_GB2312"/>
          <w:b/>
          <w:sz w:val="28"/>
          <w:szCs w:val="28"/>
        </w:rPr>
        <w:t>公务用车购置及运行维护费支出</w:t>
      </w:r>
      <w:r>
        <w:rPr>
          <w:rFonts w:ascii="仿宋_GB2312" w:hAnsi="Gulimfalt" w:eastAsia="仿宋_GB2312"/>
          <w:b/>
          <w:sz w:val="28"/>
          <w:szCs w:val="28"/>
        </w:rPr>
        <w:t>3.325</w:t>
      </w:r>
      <w:r>
        <w:rPr>
          <w:rFonts w:hint="eastAsia" w:ascii="仿宋_GB2312" w:hAnsi="Gulimfalt" w:eastAsia="仿宋_GB2312"/>
          <w:b/>
          <w:sz w:val="28"/>
          <w:szCs w:val="28"/>
        </w:rPr>
        <w:t>万元，公务用</w:t>
      </w:r>
      <w:r>
        <w:rPr>
          <w:rFonts w:hint="eastAsia" w:ascii="仿宋_GB2312" w:eastAsia="仿宋_GB2312"/>
          <w:sz w:val="32"/>
          <w:szCs w:val="32"/>
        </w:rPr>
        <w:t>车</w:t>
      </w:r>
      <w:r>
        <w:rPr>
          <w:rFonts w:ascii="仿宋_GB2312" w:eastAsia="仿宋_GB2312"/>
          <w:sz w:val="32"/>
          <w:szCs w:val="32"/>
        </w:rPr>
        <w:t>3</w:t>
      </w:r>
      <w:r>
        <w:rPr>
          <w:rFonts w:hint="eastAsia" w:ascii="仿宋_GB2312" w:eastAsia="仿宋_GB2312"/>
          <w:sz w:val="32"/>
          <w:szCs w:val="32"/>
        </w:rPr>
        <w:t>台。</w:t>
      </w:r>
      <w:r>
        <w:rPr>
          <w:rFonts w:hint="eastAsia" w:ascii="仿宋_GB2312" w:hAnsi="Gulimfalt" w:eastAsia="仿宋_GB2312"/>
          <w:b/>
          <w:sz w:val="28"/>
          <w:szCs w:val="28"/>
        </w:rPr>
        <w:t>同比减少见</w:t>
      </w:r>
      <w:r>
        <w:rPr>
          <w:rFonts w:ascii="仿宋_GB2312" w:hAnsi="Gulimfalt" w:eastAsia="仿宋_GB2312"/>
          <w:b/>
          <w:sz w:val="28"/>
          <w:szCs w:val="28"/>
        </w:rPr>
        <w:t>5%</w:t>
      </w:r>
      <w:r>
        <w:rPr>
          <w:rFonts w:hint="eastAsia" w:ascii="仿宋_GB2312" w:hAnsi="Gulimfalt" w:eastAsia="仿宋_GB2312"/>
          <w:b/>
          <w:sz w:val="28"/>
          <w:szCs w:val="28"/>
        </w:rPr>
        <w:t>。</w:t>
      </w:r>
    </w:p>
    <w:p>
      <w:pPr>
        <w:ind w:left="479" w:leftChars="228" w:firstLine="141" w:firstLineChars="50"/>
        <w:rPr>
          <w:rFonts w:ascii="仿宋_GB2312" w:hAnsi="Gulimfalt" w:eastAsia="仿宋_GB2312"/>
          <w:b/>
          <w:sz w:val="28"/>
          <w:szCs w:val="28"/>
        </w:rPr>
      </w:pPr>
      <w:r>
        <w:rPr>
          <w:rFonts w:ascii="仿宋_GB2312" w:hAnsi="Gulimfalt" w:eastAsia="仿宋_GB2312"/>
          <w:b/>
          <w:sz w:val="28"/>
          <w:szCs w:val="28"/>
        </w:rPr>
        <w:t>3</w:t>
      </w:r>
      <w:r>
        <w:rPr>
          <w:rFonts w:hint="eastAsia" w:ascii="仿宋_GB2312" w:hAnsi="Gulimfalt" w:eastAsia="仿宋_GB2312"/>
          <w:b/>
          <w:sz w:val="28"/>
          <w:szCs w:val="28"/>
        </w:rPr>
        <w:t>、公务接待费支出</w:t>
      </w:r>
      <w:r>
        <w:rPr>
          <w:rFonts w:ascii="仿宋_GB2312" w:hAnsi="Gulimfalt" w:eastAsia="仿宋_GB2312"/>
          <w:b/>
          <w:sz w:val="28"/>
          <w:szCs w:val="28"/>
        </w:rPr>
        <w:t>16.9</w:t>
      </w:r>
      <w:r>
        <w:rPr>
          <w:rFonts w:hint="eastAsia" w:ascii="仿宋_GB2312" w:hAnsi="Gulimfalt" w:eastAsia="仿宋_GB2312"/>
          <w:b/>
          <w:sz w:val="28"/>
          <w:szCs w:val="28"/>
        </w:rPr>
        <w:t>万元，主要用于省市疾控来指导工作的招待用餐及本中心进行各类传染病防治的工作餐。同比减少</w:t>
      </w:r>
      <w:r>
        <w:rPr>
          <w:rFonts w:ascii="仿宋_GB2312" w:hAnsi="Gulimfalt" w:eastAsia="仿宋_GB2312"/>
          <w:b/>
          <w:sz w:val="28"/>
          <w:szCs w:val="28"/>
        </w:rPr>
        <w:t>5%</w:t>
      </w:r>
      <w:r>
        <w:rPr>
          <w:rFonts w:hint="eastAsia" w:ascii="仿宋_GB2312" w:hAnsi="Gulimfalt" w:eastAsia="仿宋_GB2312"/>
          <w:b/>
          <w:sz w:val="28"/>
          <w:szCs w:val="28"/>
        </w:rPr>
        <w:t>。</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（二）项目支出</w:t>
      </w:r>
    </w:p>
    <w:p>
      <w:pPr>
        <w:ind w:firstLine="413" w:firstLineChars="147"/>
        <w:rPr>
          <w:rFonts w:ascii="仿宋_GB2312" w:hAnsi="Gulimfalt" w:eastAsia="仿宋_GB2312"/>
          <w:b/>
          <w:sz w:val="28"/>
          <w:szCs w:val="28"/>
        </w:rPr>
      </w:pPr>
      <w:r>
        <w:rPr>
          <w:rFonts w:hint="eastAsia" w:ascii="仿宋_GB2312" w:hAnsi="Gulimfalt" w:eastAsia="仿宋_GB2312"/>
          <w:b/>
          <w:sz w:val="28"/>
          <w:szCs w:val="28"/>
        </w:rPr>
        <w:t>项目支出</w:t>
      </w:r>
      <w:r>
        <w:rPr>
          <w:rFonts w:ascii="仿宋_GB2312" w:hAnsi="Gulimfalt" w:eastAsia="仿宋_GB2312"/>
          <w:b/>
          <w:sz w:val="28"/>
          <w:szCs w:val="28"/>
        </w:rPr>
        <w:t>89</w:t>
      </w:r>
      <w:r>
        <w:rPr>
          <w:rFonts w:hint="eastAsia" w:ascii="仿宋_GB2312" w:hAnsi="Gulimfalt" w:eastAsia="仿宋_GB2312"/>
          <w:b/>
          <w:sz w:val="28"/>
          <w:szCs w:val="28"/>
        </w:rPr>
        <w:t>万元。其中冷链运转经费</w:t>
      </w:r>
      <w:r>
        <w:rPr>
          <w:rFonts w:ascii="仿宋_GB2312" w:hAnsi="Gulimfalt" w:eastAsia="仿宋_GB2312"/>
          <w:b/>
          <w:sz w:val="28"/>
          <w:szCs w:val="28"/>
        </w:rPr>
        <w:t>5</w:t>
      </w:r>
      <w:r>
        <w:rPr>
          <w:rFonts w:hint="eastAsia" w:ascii="仿宋_GB2312" w:hAnsi="Gulimfalt" w:eastAsia="仿宋_GB2312"/>
          <w:b/>
          <w:sz w:val="28"/>
          <w:szCs w:val="28"/>
        </w:rPr>
        <w:t>万元、结核病防治经费</w:t>
      </w:r>
      <w:r>
        <w:rPr>
          <w:rFonts w:ascii="仿宋_GB2312" w:hAnsi="Gulimfalt" w:eastAsia="仿宋_GB2312"/>
          <w:b/>
          <w:sz w:val="28"/>
          <w:szCs w:val="28"/>
        </w:rPr>
        <w:t>3</w:t>
      </w:r>
      <w:r>
        <w:rPr>
          <w:rFonts w:hint="eastAsia" w:ascii="仿宋_GB2312" w:hAnsi="Gulimfalt" w:eastAsia="仿宋_GB2312"/>
          <w:b/>
          <w:sz w:val="28"/>
          <w:szCs w:val="28"/>
        </w:rPr>
        <w:t>万元、强化免疫</w:t>
      </w:r>
      <w:r>
        <w:rPr>
          <w:rFonts w:ascii="仿宋_GB2312" w:hAnsi="Gulimfalt" w:eastAsia="仿宋_GB2312"/>
          <w:b/>
          <w:sz w:val="28"/>
          <w:szCs w:val="28"/>
        </w:rPr>
        <w:t>20</w:t>
      </w:r>
      <w:r>
        <w:rPr>
          <w:rFonts w:hint="eastAsia" w:ascii="仿宋_GB2312" w:hAnsi="Gulimfalt" w:eastAsia="仿宋_GB2312"/>
          <w:b/>
          <w:sz w:val="28"/>
          <w:szCs w:val="28"/>
        </w:rPr>
        <w:t>万元、防二经费</w:t>
      </w:r>
      <w:r>
        <w:rPr>
          <w:rFonts w:ascii="仿宋_GB2312" w:hAnsi="Gulimfalt" w:eastAsia="仿宋_GB2312"/>
          <w:b/>
          <w:sz w:val="28"/>
          <w:szCs w:val="28"/>
        </w:rPr>
        <w:t>5</w:t>
      </w:r>
      <w:r>
        <w:rPr>
          <w:rFonts w:hint="eastAsia" w:ascii="仿宋_GB2312" w:hAnsi="Gulimfalt" w:eastAsia="仿宋_GB2312"/>
          <w:b/>
          <w:sz w:val="28"/>
          <w:szCs w:val="28"/>
        </w:rPr>
        <w:t>万元、防艾经费</w:t>
      </w:r>
      <w:r>
        <w:rPr>
          <w:rFonts w:ascii="仿宋_GB2312" w:hAnsi="Gulimfalt" w:eastAsia="仿宋_GB2312"/>
          <w:b/>
          <w:sz w:val="28"/>
          <w:szCs w:val="28"/>
        </w:rPr>
        <w:t>4</w:t>
      </w:r>
      <w:r>
        <w:rPr>
          <w:rFonts w:hint="eastAsia" w:ascii="仿宋_GB2312" w:hAnsi="Gulimfalt" w:eastAsia="仿宋_GB2312"/>
          <w:b/>
          <w:sz w:val="28"/>
          <w:szCs w:val="28"/>
        </w:rPr>
        <w:t>万元、扩大免疫经费</w:t>
      </w:r>
      <w:r>
        <w:rPr>
          <w:rFonts w:ascii="仿宋_GB2312" w:hAnsi="Gulimfalt" w:eastAsia="仿宋_GB2312"/>
          <w:b/>
          <w:sz w:val="28"/>
          <w:szCs w:val="28"/>
        </w:rPr>
        <w:t>20</w:t>
      </w:r>
      <w:r>
        <w:rPr>
          <w:rFonts w:hint="eastAsia" w:ascii="仿宋_GB2312" w:hAnsi="Gulimfalt" w:eastAsia="仿宋_GB2312"/>
          <w:b/>
          <w:sz w:val="28"/>
          <w:szCs w:val="28"/>
        </w:rPr>
        <w:t>万元</w:t>
      </w:r>
    </w:p>
    <w:p>
      <w:pPr>
        <w:adjustRightInd w:val="0"/>
        <w:snapToGrid w:val="0"/>
        <w:spacing w:line="600" w:lineRule="exact"/>
        <w:ind w:firstLine="643" w:firstLineChars="200"/>
        <w:rPr>
          <w:rFonts w:eastAsia="仿宋_GB2312"/>
          <w:b/>
          <w:sz w:val="32"/>
          <w:szCs w:val="32"/>
        </w:rPr>
      </w:pPr>
      <w:r>
        <w:rPr>
          <w:rFonts w:hint="eastAsia" w:eastAsia="仿宋_GB2312"/>
          <w:b/>
          <w:sz w:val="32"/>
          <w:szCs w:val="32"/>
        </w:rPr>
        <w:t>三、部门整体支出管理情况</w:t>
      </w:r>
    </w:p>
    <w:p>
      <w:pPr>
        <w:pStyle w:val="5"/>
        <w:shd w:val="clear" w:color="auto" w:fill="FFFFFF"/>
        <w:spacing w:beforeAutospacing="0" w:line="33" w:lineRule="atLeast"/>
        <w:ind w:firstLine="420"/>
        <w:jc w:val="both"/>
        <w:rPr>
          <w:rFonts w:ascii="仿宋_GB2312" w:hAnsi="Gulimfalt" w:eastAsia="仿宋_GB2312" w:cs="Times New Roman"/>
          <w:b/>
          <w:kern w:val="2"/>
          <w:sz w:val="28"/>
          <w:szCs w:val="28"/>
        </w:rPr>
      </w:pPr>
      <w:r>
        <w:rPr>
          <w:rFonts w:hint="eastAsia"/>
          <w:kern w:val="2"/>
          <w:sz w:val="30"/>
          <w:szCs w:val="30"/>
        </w:rPr>
        <w:t>（</w:t>
      </w:r>
      <w:r>
        <w:rPr>
          <w:rFonts w:hint="eastAsia" w:ascii="仿宋_GB2312" w:hAnsi="Gulimfalt" w:eastAsia="仿宋_GB2312" w:cs="Times New Roman"/>
          <w:b/>
          <w:kern w:val="2"/>
          <w:sz w:val="28"/>
          <w:szCs w:val="28"/>
        </w:rPr>
        <w:t>一）严格预算支出管理。在支出预算编制上，人员经费按照配置定额，共用经费分类分档，按定额编制，根据“总量控制，计划管理”的要求从严控制行政经费，压缩公务开支，严格控制“三公经费”，资产的配置严格政府采购，按照预算科目和项目资金的规定使用财政资金，保障部门整体支出的规范化、制度化。</w:t>
      </w:r>
    </w:p>
    <w:p>
      <w:pPr>
        <w:pStyle w:val="5"/>
        <w:numPr>
          <w:ilvl w:val="0"/>
          <w:numId w:val="1"/>
        </w:numPr>
        <w:shd w:val="clear" w:color="auto" w:fill="FFFFFF"/>
        <w:spacing w:before="0" w:beforeAutospacing="0" w:after="0" w:line="33" w:lineRule="atLeast"/>
        <w:ind w:firstLine="420"/>
        <w:jc w:val="both"/>
        <w:rPr>
          <w:rFonts w:ascii="仿宋_GB2312" w:hAnsi="Gulimfalt" w:eastAsia="仿宋_GB2312" w:cs="Times New Roman"/>
          <w:b/>
          <w:kern w:val="2"/>
          <w:sz w:val="28"/>
          <w:szCs w:val="28"/>
        </w:rPr>
      </w:pPr>
      <w:r>
        <w:rPr>
          <w:rFonts w:hint="eastAsia" w:ascii="仿宋_GB2312" w:hAnsi="Gulimfalt" w:eastAsia="仿宋_GB2312" w:cs="Times New Roman"/>
          <w:b/>
          <w:kern w:val="2"/>
          <w:sz w:val="28"/>
          <w:szCs w:val="28"/>
        </w:rPr>
        <w:t>财务管理上，按照国家相关法律法规，制定了机关财务、公物购置使用、接待会务、车辆使用等管理制度，并严格按照制度管理和执行，防范风险，保证财政资金的安全和高效运行。</w:t>
      </w:r>
    </w:p>
    <w:p>
      <w:pPr>
        <w:adjustRightInd w:val="0"/>
        <w:snapToGrid w:val="0"/>
        <w:spacing w:line="600" w:lineRule="exact"/>
        <w:ind w:firstLine="643" w:firstLineChars="200"/>
        <w:rPr>
          <w:rFonts w:eastAsia="仿宋_GB2312"/>
          <w:b/>
          <w:sz w:val="32"/>
          <w:szCs w:val="32"/>
        </w:rPr>
      </w:pPr>
      <w:r>
        <w:rPr>
          <w:rFonts w:hint="eastAsia" w:eastAsia="仿宋_GB2312"/>
          <w:b/>
          <w:sz w:val="32"/>
          <w:szCs w:val="32"/>
        </w:rPr>
        <w:t>四、部门整体支出绩效情况</w:t>
      </w:r>
    </w:p>
    <w:p>
      <w:pPr>
        <w:spacing w:line="560" w:lineRule="exact"/>
        <w:ind w:firstLine="562" w:firstLineChars="200"/>
        <w:rPr>
          <w:rFonts w:ascii="仿宋_GB2312" w:hAnsi="Gulimfalt" w:eastAsia="仿宋_GB2312"/>
          <w:b/>
          <w:sz w:val="28"/>
          <w:szCs w:val="28"/>
        </w:rPr>
      </w:pPr>
      <w:r>
        <w:rPr>
          <w:rFonts w:hint="eastAsia" w:ascii="仿宋_GB2312" w:hAnsi="Gulimfalt" w:eastAsia="仿宋_GB2312"/>
          <w:b/>
          <w:sz w:val="28"/>
          <w:szCs w:val="28"/>
        </w:rPr>
        <w:t>制度执行情况，资金管理使用的各个环节是严格按照财政资金相关类别项目专项资金管理办法的规定执行。分析评价：资金使用情况，资金使用的各个环节和有关内容合理到位，</w:t>
      </w:r>
      <w:r>
        <w:rPr>
          <w:rFonts w:ascii="仿宋_GB2312" w:hAnsi="Gulimfalt" w:eastAsia="仿宋_GB2312"/>
          <w:b/>
          <w:sz w:val="28"/>
          <w:szCs w:val="28"/>
        </w:rPr>
        <w:t>.</w:t>
      </w:r>
      <w:r>
        <w:rPr>
          <w:rFonts w:hint="eastAsia" w:ascii="仿宋_GB2312" w:hAnsi="Gulimfalt" w:eastAsia="仿宋_GB2312"/>
          <w:b/>
          <w:sz w:val="28"/>
          <w:szCs w:val="28"/>
        </w:rPr>
        <w:t>没有存在虚报项目骗取财政资金的情况；没有存在截留、挤占、挪用财政资金的情况。没有用于弥补人员经费或用于其它活动；没有用于对外借款、对外投资；没有擅自调整预算、计提管理费、基本支出挤占项目支出或截留财政资金</w:t>
      </w:r>
      <w:r>
        <w:rPr>
          <w:rFonts w:hint="eastAsia" w:ascii="仿宋_GB2312" w:hAnsi="Gulimfalt" w:eastAsia="仿宋_GB2312"/>
          <w:b/>
          <w:sz w:val="28"/>
          <w:szCs w:val="28"/>
          <w:lang w:eastAsia="zh-CN"/>
        </w:rPr>
        <w:t>挪作他用</w:t>
      </w:r>
      <w:r>
        <w:rPr>
          <w:rFonts w:hint="eastAsia" w:ascii="仿宋_GB2312" w:hAnsi="Gulimfalt" w:eastAsia="仿宋_GB2312"/>
          <w:b/>
          <w:sz w:val="28"/>
          <w:szCs w:val="28"/>
        </w:rPr>
        <w:t>等情况；资金监管情况。采用资金运行全程监控等管理手段进行资金的有效管理，建立了资金使用和监管的责任机制。</w:t>
      </w:r>
      <w:r>
        <w:rPr>
          <w:rFonts w:ascii="仿宋_GB2312" w:hAnsi="Gulimfalt" w:eastAsia="仿宋_GB2312"/>
          <w:b/>
          <w:sz w:val="28"/>
          <w:szCs w:val="28"/>
        </w:rPr>
        <w:t>.</w:t>
      </w:r>
      <w:r>
        <w:rPr>
          <w:rFonts w:hint="eastAsia" w:ascii="仿宋_GB2312" w:hAnsi="Gulimfalt" w:eastAsia="仿宋_GB2312"/>
          <w:b/>
          <w:sz w:val="28"/>
          <w:szCs w:val="28"/>
        </w:rPr>
        <w:t>做到项目资金专账核算、专款专用、专人负责；没有存在虚列支出、重复列支、提前列支的情况；</w:t>
      </w:r>
    </w:p>
    <w:p>
      <w:pPr>
        <w:adjustRightInd w:val="0"/>
        <w:snapToGrid w:val="0"/>
        <w:spacing w:line="600" w:lineRule="exact"/>
        <w:ind w:firstLine="643" w:firstLineChars="200"/>
        <w:rPr>
          <w:rFonts w:ascii="黑体" w:eastAsia="黑体"/>
          <w:sz w:val="32"/>
          <w:szCs w:val="32"/>
        </w:rPr>
      </w:pPr>
      <w:r>
        <w:rPr>
          <w:rFonts w:hint="eastAsia" w:eastAsia="仿宋_GB2312"/>
          <w:b/>
          <w:sz w:val="32"/>
          <w:szCs w:val="32"/>
        </w:rPr>
        <w:t>五、结合《部门整体支出绩效评价指标表》（见附件）</w:t>
      </w:r>
      <w:r>
        <w:rPr>
          <w:rFonts w:hint="eastAsia" w:ascii="黑体" w:eastAsia="黑体"/>
          <w:sz w:val="32"/>
          <w:szCs w:val="32"/>
        </w:rPr>
        <w:t>的评价结果</w:t>
      </w:r>
    </w:p>
    <w:p>
      <w:pPr>
        <w:adjustRightInd w:val="0"/>
        <w:snapToGrid w:val="0"/>
        <w:spacing w:line="600" w:lineRule="exact"/>
        <w:ind w:firstLine="643" w:firstLineChars="200"/>
        <w:rPr>
          <w:rFonts w:eastAsia="仿宋_GB2312"/>
          <w:b/>
          <w:sz w:val="32"/>
          <w:szCs w:val="32"/>
        </w:rPr>
      </w:pPr>
      <w:r>
        <w:rPr>
          <w:rFonts w:hint="eastAsia" w:eastAsia="仿宋_GB2312"/>
          <w:b/>
          <w:sz w:val="32"/>
          <w:szCs w:val="32"/>
        </w:rPr>
        <w:t>六、存在的主要问题</w:t>
      </w:r>
    </w:p>
    <w:p>
      <w:pPr>
        <w:spacing w:line="560" w:lineRule="exact"/>
        <w:ind w:firstLine="422" w:firstLineChars="150"/>
        <w:rPr>
          <w:rFonts w:ascii="仿宋_GB2312" w:hAnsi="Gulimfalt" w:eastAsia="仿宋_GB2312"/>
          <w:b/>
          <w:sz w:val="28"/>
          <w:szCs w:val="28"/>
        </w:rPr>
      </w:pPr>
      <w:r>
        <w:rPr>
          <w:rFonts w:ascii="仿宋_GB2312" w:hAnsi="Gulimfalt" w:eastAsia="仿宋_GB2312"/>
          <w:b/>
          <w:sz w:val="28"/>
          <w:szCs w:val="28"/>
        </w:rPr>
        <w:t>1</w:t>
      </w:r>
      <w:r>
        <w:rPr>
          <w:rFonts w:hint="eastAsia" w:ascii="仿宋_GB2312" w:hAnsi="Gulimfalt" w:eastAsia="仿宋_GB2312"/>
          <w:b/>
          <w:sz w:val="28"/>
          <w:szCs w:val="28"/>
        </w:rPr>
        <w:t>、执行单位对专项资金预算不了解，无法与执行单位的工作计划衔接</w:t>
      </w:r>
    </w:p>
    <w:p>
      <w:pPr>
        <w:spacing w:line="560" w:lineRule="exact"/>
        <w:ind w:firstLine="422" w:firstLineChars="150"/>
        <w:rPr>
          <w:rFonts w:ascii="仿宋_GB2312" w:hAnsi="Gulimfalt" w:eastAsia="仿宋_GB2312"/>
          <w:b/>
          <w:sz w:val="28"/>
          <w:szCs w:val="28"/>
        </w:rPr>
      </w:pPr>
      <w:r>
        <w:rPr>
          <w:rFonts w:ascii="仿宋_GB2312" w:hAnsi="Gulimfalt" w:eastAsia="仿宋_GB2312"/>
          <w:b/>
          <w:sz w:val="28"/>
          <w:szCs w:val="28"/>
        </w:rPr>
        <w:t>2</w:t>
      </w:r>
      <w:r>
        <w:rPr>
          <w:rFonts w:hint="eastAsia" w:ascii="仿宋_GB2312" w:hAnsi="Gulimfalt" w:eastAsia="仿宋_GB2312"/>
          <w:b/>
          <w:sz w:val="28"/>
          <w:szCs w:val="28"/>
        </w:rPr>
        <w:t>、专项资金到执行单位时间滞后，与业务开展时间相差太远。</w:t>
      </w:r>
    </w:p>
    <w:p>
      <w:pPr>
        <w:spacing w:line="560" w:lineRule="exact"/>
        <w:ind w:firstLine="422" w:firstLineChars="150"/>
        <w:rPr>
          <w:rFonts w:ascii="仿宋_GB2312" w:hAnsi="Gulimfalt" w:eastAsia="仿宋_GB2312"/>
          <w:b/>
          <w:sz w:val="28"/>
          <w:szCs w:val="28"/>
        </w:rPr>
      </w:pPr>
      <w:r>
        <w:rPr>
          <w:rFonts w:ascii="仿宋_GB2312" w:hAnsi="Gulimfalt" w:eastAsia="仿宋_GB2312"/>
          <w:b/>
          <w:sz w:val="28"/>
          <w:szCs w:val="28"/>
        </w:rPr>
        <w:t>3</w:t>
      </w:r>
      <w:r>
        <w:rPr>
          <w:rFonts w:hint="eastAsia" w:ascii="仿宋_GB2312" w:hAnsi="Gulimfalt" w:eastAsia="仿宋_GB2312"/>
          <w:b/>
          <w:sz w:val="28"/>
          <w:szCs w:val="28"/>
        </w:rPr>
        <w:t>、专项资金使用范围过于笼统。</w:t>
      </w:r>
    </w:p>
    <w:p>
      <w:pPr>
        <w:adjustRightInd w:val="0"/>
        <w:snapToGrid w:val="0"/>
        <w:spacing w:line="600" w:lineRule="exact"/>
        <w:ind w:firstLine="643" w:firstLineChars="200"/>
        <w:rPr>
          <w:rFonts w:eastAsia="仿宋_GB2312"/>
          <w:b/>
          <w:sz w:val="32"/>
          <w:szCs w:val="32"/>
        </w:rPr>
      </w:pPr>
      <w:r>
        <w:rPr>
          <w:rFonts w:hint="eastAsia" w:eastAsia="仿宋_GB2312"/>
          <w:b/>
          <w:sz w:val="32"/>
          <w:szCs w:val="32"/>
        </w:rPr>
        <w:t>七、改进措施和有关建议</w:t>
      </w:r>
    </w:p>
    <w:p>
      <w:pPr>
        <w:spacing w:line="560" w:lineRule="exact"/>
        <w:ind w:firstLine="422" w:firstLineChars="150"/>
        <w:rPr>
          <w:rFonts w:ascii="仿宋_GB2312" w:hAnsi="Gulimfalt" w:eastAsia="仿宋_GB2312"/>
          <w:b/>
          <w:sz w:val="28"/>
          <w:szCs w:val="28"/>
        </w:rPr>
      </w:pPr>
      <w:r>
        <w:rPr>
          <w:rFonts w:ascii="仿宋_GB2312" w:hAnsi="Gulimfalt" w:eastAsia="仿宋_GB2312"/>
          <w:b/>
          <w:sz w:val="28"/>
          <w:szCs w:val="28"/>
        </w:rPr>
        <w:t>1</w:t>
      </w:r>
      <w:r>
        <w:rPr>
          <w:rFonts w:hint="eastAsia" w:ascii="仿宋_GB2312" w:hAnsi="Gulimfalt" w:eastAsia="仿宋_GB2312"/>
          <w:b/>
          <w:sz w:val="28"/>
          <w:szCs w:val="28"/>
        </w:rPr>
        <w:t>、建议专项资金预算能在年初下发到各执行单位。</w:t>
      </w:r>
    </w:p>
    <w:p>
      <w:pPr>
        <w:spacing w:line="560" w:lineRule="exact"/>
        <w:ind w:firstLine="422" w:firstLineChars="150"/>
        <w:rPr>
          <w:rFonts w:ascii="仿宋_GB2312" w:hAnsi="Gulimfalt" w:eastAsia="仿宋_GB2312"/>
          <w:b/>
          <w:sz w:val="28"/>
          <w:szCs w:val="28"/>
        </w:rPr>
      </w:pPr>
      <w:r>
        <w:rPr>
          <w:rFonts w:ascii="仿宋_GB2312" w:hAnsi="Gulimfalt" w:eastAsia="仿宋_GB2312"/>
          <w:b/>
          <w:sz w:val="28"/>
          <w:szCs w:val="28"/>
        </w:rPr>
        <w:t>2</w:t>
      </w:r>
      <w:r>
        <w:rPr>
          <w:rFonts w:hint="eastAsia" w:ascii="仿宋_GB2312" w:hAnsi="Gulimfalt" w:eastAsia="仿宋_GB2312"/>
          <w:b/>
          <w:sz w:val="28"/>
          <w:szCs w:val="28"/>
        </w:rPr>
        <w:t>、加大专项资金管理使用培训力度，进一步提高基层人员对专项资金管理的重视程度与业务能力。</w:t>
      </w:r>
    </w:p>
    <w:p>
      <w:pPr>
        <w:ind w:firstLine="413" w:firstLineChars="147"/>
        <w:rPr>
          <w:rFonts w:ascii="仿宋_GB2312" w:hAnsi="Gulimfalt" w:eastAsia="仿宋_GB2312"/>
          <w:b/>
          <w:sz w:val="28"/>
          <w:szCs w:val="28"/>
        </w:rPr>
      </w:pPr>
      <w:r>
        <w:rPr>
          <w:rFonts w:ascii="仿宋_GB2312" w:hAnsi="Gulimfalt" w:eastAsia="仿宋_GB2312"/>
          <w:b/>
          <w:sz w:val="28"/>
          <w:szCs w:val="28"/>
        </w:rPr>
        <w:t>3</w:t>
      </w:r>
      <w:r>
        <w:rPr>
          <w:rFonts w:hint="eastAsia" w:ascii="仿宋_GB2312" w:hAnsi="Gulimfalt" w:eastAsia="仿宋_GB2312"/>
          <w:b/>
          <w:sz w:val="28"/>
          <w:szCs w:val="28"/>
        </w:rPr>
        <w:t>、进一步明确细化专项资金开支范围，便于执行单位严格按照要求使用资金。</w:t>
      </w:r>
    </w:p>
    <w:p>
      <w:pPr>
        <w:ind w:firstLine="413" w:firstLineChars="147"/>
        <w:rPr>
          <w:rFonts w:ascii="仿宋_GB2312" w:hAnsi="Gulimfalt" w:eastAsia="仿宋_GB2312"/>
          <w:b/>
          <w:sz w:val="28"/>
          <w:szCs w:val="28"/>
        </w:rPr>
      </w:pPr>
      <w:r>
        <w:rPr>
          <w:rFonts w:hint="eastAsia" w:ascii="仿宋_GB2312" w:hAnsi="Gulimfalt" w:eastAsia="仿宋_GB2312"/>
          <w:b/>
          <w:sz w:val="28"/>
          <w:szCs w:val="28"/>
        </w:rPr>
        <w:t>附件：</w:t>
      </w:r>
      <w:r>
        <w:fldChar w:fldCharType="begin"/>
      </w:r>
      <w:r>
        <w:instrText xml:space="preserve"> HYPERLINK "file:///C:\\Users\\Administrator\\Desktop\\10.18\\绩效自评模板\\2016年永州市直部门整体支出绩效评价指标表.doc" </w:instrText>
      </w:r>
      <w:r>
        <w:fldChar w:fldCharType="separate"/>
      </w:r>
      <w:r>
        <w:rPr>
          <w:rFonts w:hint="eastAsia" w:ascii="仿宋_GB2312" w:hAnsi="Gulimfalt" w:eastAsia="仿宋_GB2312"/>
          <w:b/>
          <w:sz w:val="28"/>
          <w:szCs w:val="28"/>
        </w:rPr>
        <w:t>部门整体支出绩效评价指标表</w:t>
      </w:r>
      <w:r>
        <w:rPr>
          <w:rFonts w:hint="eastAsia" w:ascii="仿宋_GB2312" w:hAnsi="Gulimfalt" w:eastAsia="仿宋_GB2312"/>
          <w:b/>
          <w:sz w:val="28"/>
          <w:szCs w:val="28"/>
        </w:rPr>
        <w:fldChar w:fldCharType="end"/>
      </w:r>
    </w:p>
    <w:p>
      <w:pPr>
        <w:adjustRightInd w:val="0"/>
        <w:snapToGrid w:val="0"/>
        <w:spacing w:line="600" w:lineRule="exact"/>
        <w:ind w:firstLine="640" w:firstLineChars="200"/>
        <w:rPr>
          <w:rFonts w:eastAsia="仿宋_GB2312"/>
          <w:sz w:val="32"/>
          <w:szCs w:val="32"/>
        </w:rPr>
      </w:pPr>
    </w:p>
    <w:p>
      <w:pPr>
        <w:ind w:firstLine="5060" w:firstLineChars="1800"/>
        <w:rPr>
          <w:rFonts w:ascii="仿宋_GB2312" w:hAnsi="Gulimfalt" w:eastAsia="仿宋_GB2312"/>
          <w:b/>
          <w:sz w:val="28"/>
          <w:szCs w:val="28"/>
        </w:rPr>
      </w:pPr>
      <w:r>
        <w:rPr>
          <w:rFonts w:hint="eastAsia" w:ascii="仿宋_GB2312" w:hAnsi="Gulimfalt" w:eastAsia="仿宋_GB2312"/>
          <w:b/>
          <w:sz w:val="28"/>
          <w:szCs w:val="28"/>
          <w:lang w:eastAsia="zh-CN"/>
        </w:rPr>
        <w:t>东安县疾病预防控制中心</w:t>
      </w:r>
    </w:p>
    <w:p>
      <w:pPr>
        <w:ind w:firstLine="5060" w:firstLineChars="1800"/>
        <w:rPr>
          <w:rFonts w:ascii="仿宋_GB2312" w:hAnsi="Gulimfalt" w:eastAsia="仿宋_GB2312"/>
          <w:b/>
          <w:sz w:val="28"/>
          <w:szCs w:val="28"/>
        </w:rPr>
      </w:pPr>
      <w:r>
        <w:rPr>
          <w:rFonts w:hint="eastAsia" w:ascii="仿宋_GB2312" w:hAnsi="Gulimfalt" w:eastAsia="仿宋_GB2312"/>
          <w:b/>
          <w:sz w:val="28"/>
          <w:szCs w:val="28"/>
          <w:lang w:val="en-US" w:eastAsia="zh-CN"/>
        </w:rPr>
        <w:t>2018</w:t>
      </w:r>
      <w:r>
        <w:rPr>
          <w:rFonts w:hint="eastAsia" w:ascii="仿宋_GB2312" w:hAnsi="Gulimfalt" w:eastAsia="仿宋_GB2312"/>
          <w:b/>
          <w:sz w:val="28"/>
          <w:szCs w:val="28"/>
        </w:rPr>
        <w:t>年</w:t>
      </w:r>
      <w:r>
        <w:rPr>
          <w:rFonts w:hint="eastAsia" w:ascii="仿宋_GB2312" w:hAnsi="Gulimfalt" w:eastAsia="仿宋_GB2312"/>
          <w:b/>
          <w:sz w:val="28"/>
          <w:szCs w:val="28"/>
          <w:lang w:val="en-US" w:eastAsia="zh-CN"/>
        </w:rPr>
        <w:t>10</w:t>
      </w:r>
      <w:r>
        <w:rPr>
          <w:rFonts w:hint="eastAsia" w:ascii="仿宋_GB2312" w:hAnsi="Gulimfalt" w:eastAsia="仿宋_GB2312"/>
          <w:b/>
          <w:sz w:val="28"/>
          <w:szCs w:val="28"/>
        </w:rPr>
        <w:t>月</w:t>
      </w:r>
      <w:r>
        <w:rPr>
          <w:rFonts w:ascii="仿宋_GB2312" w:hAnsi="Gulimfalt" w:eastAsia="仿宋_GB2312"/>
          <w:b/>
          <w:sz w:val="28"/>
          <w:szCs w:val="28"/>
        </w:rPr>
        <w:t xml:space="preserve"> </w:t>
      </w:r>
      <w:r>
        <w:rPr>
          <w:rFonts w:hint="eastAsia" w:ascii="仿宋_GB2312" w:hAnsi="Gulimfalt" w:eastAsia="仿宋_GB2312"/>
          <w:b/>
          <w:sz w:val="28"/>
          <w:szCs w:val="28"/>
          <w:lang w:val="en-US" w:eastAsia="zh-CN"/>
        </w:rPr>
        <w:t>8</w:t>
      </w:r>
      <w:r>
        <w:rPr>
          <w:rFonts w:ascii="仿宋_GB2312" w:hAnsi="Gulimfalt" w:eastAsia="仿宋_GB2312"/>
          <w:b/>
          <w:sz w:val="28"/>
          <w:szCs w:val="28"/>
        </w:rPr>
        <w:t xml:space="preserve"> </w:t>
      </w:r>
      <w:r>
        <w:rPr>
          <w:rFonts w:hint="eastAsia" w:ascii="仿宋_GB2312" w:hAnsi="Gulimfalt" w:eastAsia="仿宋_GB2312"/>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Gulimfalt">
    <w:altName w:val="Dreamofgirl"/>
    <w:panose1 w:val="00000000000000000000"/>
    <w:charset w:val="81"/>
    <w:family w:val="swiss"/>
    <w:pitch w:val="default"/>
    <w:sig w:usb0="00000000" w:usb1="00000000" w:usb2="00000010" w:usb3="00000000" w:csb0="0008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reamofgirl">
    <w:panose1 w:val="02020603020101020101"/>
    <w:charset w:val="81"/>
    <w:family w:val="auto"/>
    <w:pitch w:val="default"/>
    <w:sig w:usb0="800002A7" w:usb1="11D77CFB"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66320"/>
    <w:multiLevelType w:val="singleLevel"/>
    <w:tmpl w:val="5A066320"/>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0E023F5"/>
    <w:rsid w:val="00037B95"/>
    <w:rsid w:val="00151FB2"/>
    <w:rsid w:val="0017128D"/>
    <w:rsid w:val="00273308"/>
    <w:rsid w:val="002A087C"/>
    <w:rsid w:val="00491393"/>
    <w:rsid w:val="004A139B"/>
    <w:rsid w:val="005A30F2"/>
    <w:rsid w:val="005B2827"/>
    <w:rsid w:val="006117C5"/>
    <w:rsid w:val="0061728F"/>
    <w:rsid w:val="00690B14"/>
    <w:rsid w:val="0073431B"/>
    <w:rsid w:val="00762D52"/>
    <w:rsid w:val="00783181"/>
    <w:rsid w:val="00836368"/>
    <w:rsid w:val="00877BA1"/>
    <w:rsid w:val="00A44C7D"/>
    <w:rsid w:val="00A76448"/>
    <w:rsid w:val="00AA7045"/>
    <w:rsid w:val="00B30C5E"/>
    <w:rsid w:val="00B74A87"/>
    <w:rsid w:val="00B8098E"/>
    <w:rsid w:val="00C25252"/>
    <w:rsid w:val="00CE0BD6"/>
    <w:rsid w:val="00D116AF"/>
    <w:rsid w:val="00D1790A"/>
    <w:rsid w:val="00D90AB0"/>
    <w:rsid w:val="00DF468F"/>
    <w:rsid w:val="00E023F5"/>
    <w:rsid w:val="00E23B0F"/>
    <w:rsid w:val="00E641CA"/>
    <w:rsid w:val="00E65AF3"/>
    <w:rsid w:val="00E96CA1"/>
    <w:rsid w:val="00EA1F7D"/>
    <w:rsid w:val="00F16E04"/>
    <w:rsid w:val="00F7604E"/>
    <w:rsid w:val="00F94903"/>
    <w:rsid w:val="185D26BA"/>
    <w:rsid w:val="2AFA4E51"/>
    <w:rsid w:val="3713179E"/>
    <w:rsid w:val="39000043"/>
    <w:rsid w:val="3F81663C"/>
    <w:rsid w:val="476A02D4"/>
    <w:rsid w:val="7CB76C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50" w:line="384" w:lineRule="atLeast"/>
      <w:jc w:val="left"/>
    </w:pPr>
    <w:rPr>
      <w:rFonts w:ascii="宋体" w:hAnsi="宋体" w:cs="宋体"/>
      <w:kern w:val="0"/>
      <w:sz w:val="24"/>
    </w:rPr>
  </w:style>
  <w:style w:type="character" w:styleId="8">
    <w:name w:val="FollowedHyperlink"/>
    <w:basedOn w:val="7"/>
    <w:uiPriority w:val="99"/>
    <w:rPr>
      <w:rFonts w:cs="Times New Roman"/>
      <w:color w:val="800080"/>
      <w:u w:val="single"/>
    </w:rPr>
  </w:style>
  <w:style w:type="character" w:styleId="9">
    <w:name w:val="Hyperlink"/>
    <w:basedOn w:val="7"/>
    <w:uiPriority w:val="99"/>
    <w:rPr>
      <w:rFonts w:cs="Times New Roman"/>
      <w:color w:val="0000FF"/>
      <w:u w:val="single"/>
    </w:rPr>
  </w:style>
  <w:style w:type="character" w:customStyle="1" w:styleId="10">
    <w:name w:val="Balloon Text Char"/>
    <w:basedOn w:val="7"/>
    <w:link w:val="2"/>
    <w:qFormat/>
    <w:locked/>
    <w:uiPriority w:val="99"/>
    <w:rPr>
      <w:rFonts w:cs="Times New Roman"/>
      <w:kern w:val="2"/>
      <w:sz w:val="18"/>
      <w:szCs w:val="18"/>
    </w:rPr>
  </w:style>
  <w:style w:type="character" w:customStyle="1" w:styleId="11">
    <w:name w:val="Footer Char"/>
    <w:basedOn w:val="7"/>
    <w:link w:val="3"/>
    <w:qFormat/>
    <w:locked/>
    <w:uiPriority w:val="99"/>
    <w:rPr>
      <w:rFonts w:cs="Times New Roman"/>
      <w:kern w:val="2"/>
      <w:sz w:val="18"/>
      <w:szCs w:val="18"/>
    </w:rPr>
  </w:style>
  <w:style w:type="character" w:customStyle="1" w:styleId="12">
    <w:name w:val="Header Char"/>
    <w:basedOn w:val="7"/>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 (Beijing) Limited</Company>
  <Pages>3</Pages>
  <Words>1312</Words>
  <Characters>1364</Characters>
  <Lines>0</Lines>
  <Paragraphs>0</Paragraphs>
  <TotalTime>22</TotalTime>
  <ScaleCrop>false</ScaleCrop>
  <LinksUpToDate>false</LinksUpToDate>
  <CharactersWithSpaces>1371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WPS_1652411081</cp:lastModifiedBy>
  <cp:lastPrinted>2013-10-09T02:05:00Z</cp:lastPrinted>
  <dcterms:modified xsi:type="dcterms:W3CDTF">2023-06-13T01:22:10Z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3330601E6D444A05BDA8726C684FB8AB_12</vt:lpwstr>
  </property>
</Properties>
</file>