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黑体" w:hAnsi="黑体" w:eastAsia="黑体" w:cs="Times New Roman"/>
          <w:b/>
          <w:bCs/>
          <w:color w:val="222222"/>
          <w:w w:val="90"/>
          <w:kern w:val="0"/>
          <w:sz w:val="44"/>
          <w:szCs w:val="44"/>
          <w:lang w:eastAsia="zh-CN"/>
        </w:rPr>
      </w:pPr>
      <w:bookmarkStart w:id="0" w:name="_GoBack"/>
      <w:bookmarkEnd w:id="0"/>
    </w:p>
    <w:p>
      <w:pPr>
        <w:widowControl/>
        <w:shd w:val="clear" w:color="auto" w:fill="FFFFFF"/>
        <w:spacing w:line="760" w:lineRule="exact"/>
        <w:jc w:val="center"/>
        <w:rPr>
          <w:rFonts w:ascii="黑体" w:hAnsi="黑体" w:eastAsia="黑体" w:cs="Times New Roman"/>
          <w:b/>
          <w:bCs/>
          <w:color w:val="666666"/>
          <w:w w:val="90"/>
          <w:kern w:val="0"/>
          <w:sz w:val="44"/>
          <w:szCs w:val="44"/>
          <w:lang w:eastAsia="zh-CN"/>
        </w:rPr>
      </w:pPr>
      <w:r>
        <w:rPr>
          <w:rFonts w:ascii="黑体" w:hAnsi="黑体" w:eastAsia="黑体" w:cs="黑体"/>
          <w:b/>
          <w:bCs/>
          <w:color w:val="222222"/>
          <w:w w:val="90"/>
          <w:kern w:val="0"/>
          <w:sz w:val="44"/>
          <w:szCs w:val="44"/>
          <w:lang w:eastAsia="zh-CN"/>
        </w:rPr>
        <w:t>2017</w:t>
      </w:r>
      <w:r>
        <w:rPr>
          <w:rFonts w:hint="eastAsia" w:ascii="黑体" w:hAnsi="黑体" w:eastAsia="黑体" w:cs="黑体"/>
          <w:b/>
          <w:bCs/>
          <w:color w:val="222222"/>
          <w:w w:val="90"/>
          <w:kern w:val="0"/>
          <w:sz w:val="44"/>
          <w:szCs w:val="44"/>
          <w:lang w:eastAsia="zh-CN"/>
        </w:rPr>
        <w:t>年度东安县政协办部门整体支出绩效评价报告</w:t>
      </w:r>
    </w:p>
    <w:p>
      <w:pPr>
        <w:widowControl/>
        <w:shd w:val="clear" w:color="auto" w:fill="FFFFFF"/>
        <w:spacing w:line="760" w:lineRule="exact"/>
        <w:jc w:val="left"/>
        <w:rPr>
          <w:rFonts w:ascii="宋体" w:cs="Times New Roman"/>
          <w:b/>
          <w:bCs/>
          <w:color w:val="666666"/>
          <w:kern w:val="0"/>
          <w:sz w:val="36"/>
          <w:szCs w:val="36"/>
          <w:lang w:eastAsia="zh-CN"/>
        </w:rPr>
      </w:pPr>
      <w:r>
        <w:rPr>
          <w:rFonts w:ascii="宋体" w:hAnsi="宋体" w:cs="宋体"/>
          <w:b/>
          <w:bCs/>
          <w:color w:val="222222"/>
          <w:kern w:val="0"/>
          <w:sz w:val="36"/>
          <w:szCs w:val="36"/>
          <w:lang w:eastAsia="zh-CN"/>
        </w:rPr>
        <w:t xml:space="preserve"> </w:t>
      </w:r>
    </w:p>
    <w:p>
      <w:pPr>
        <w:widowControl/>
        <w:shd w:val="clear" w:color="auto" w:fill="FFFFFF"/>
        <w:autoSpaceDE w:val="0"/>
        <w:spacing w:line="560" w:lineRule="exact"/>
        <w:ind w:firstLine="643" w:firstLineChars="200"/>
        <w:jc w:val="left"/>
        <w:rPr>
          <w:rFonts w:ascii="黑体" w:hAnsi="黑体" w:eastAsia="黑体" w:cs="Times New Roman"/>
          <w:b/>
          <w:bCs/>
          <w:color w:val="666666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  <w:lang w:eastAsia="zh-CN"/>
        </w:rPr>
        <w:t>一、部门概况</w:t>
      </w:r>
    </w:p>
    <w:p>
      <w:pPr>
        <w:spacing w:line="560" w:lineRule="exact"/>
        <w:ind w:left="160" w:leftChars="76" w:firstLine="498" w:firstLineChars="155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</w:rPr>
        <w:t>一）部门基本情况</w:t>
      </w:r>
    </w:p>
    <w:p>
      <w:pPr>
        <w:spacing w:line="560" w:lineRule="exact"/>
        <w:ind w:firstLine="643" w:firstLineChars="20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  <w:lang w:eastAsia="zh-CN"/>
        </w:rPr>
        <w:t>1.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部门机构设置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县政协机关内设办公室、提案委、联谊委、文史委、经科委。</w:t>
      </w:r>
    </w:p>
    <w:p>
      <w:pPr>
        <w:spacing w:line="560" w:lineRule="exact"/>
        <w:ind w:firstLine="643" w:firstLineChars="200"/>
        <w:rPr>
          <w:rFonts w:ascii="仿宋_GB2312" w:hAnsi="黑体" w:eastAsia="仿宋_GB2312" w:cs="Times New Roman"/>
          <w:b/>
          <w:bCs/>
          <w:sz w:val="32"/>
          <w:szCs w:val="32"/>
        </w:rPr>
      </w:pPr>
      <w:r>
        <w:rPr>
          <w:rFonts w:ascii="仿宋_GB2312" w:hAnsi="黑体" w:eastAsia="仿宋_GB2312" w:cs="仿宋_GB2312"/>
          <w:b/>
          <w:bCs/>
          <w:sz w:val="32"/>
          <w:szCs w:val="32"/>
          <w:lang w:eastAsia="zh-CN"/>
        </w:rPr>
        <w:t>2.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人员构成情况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县政协人员编制数</w:t>
      </w:r>
      <w:r>
        <w:rPr>
          <w:rFonts w:ascii="仿宋_GB2312" w:hAnsi="仿宋" w:eastAsia="仿宋_GB2312" w:cs="仿宋_GB2312"/>
          <w:sz w:val="32"/>
          <w:szCs w:val="32"/>
        </w:rPr>
        <w:t>24</w:t>
      </w:r>
      <w:r>
        <w:rPr>
          <w:rFonts w:hint="eastAsia" w:ascii="仿宋_GB2312" w:hAnsi="仿宋" w:eastAsia="仿宋_GB2312" w:cs="仿宋_GB2312"/>
          <w:sz w:val="32"/>
          <w:szCs w:val="32"/>
        </w:rPr>
        <w:t>人，</w:t>
      </w:r>
      <w:r>
        <w:rPr>
          <w:rFonts w:ascii="仿宋_GB2312" w:hAnsi="仿宋" w:eastAsia="仿宋_GB2312" w:cs="仿宋_GB2312"/>
          <w:sz w:val="32"/>
          <w:szCs w:val="32"/>
        </w:rPr>
        <w:t>2017</w:t>
      </w:r>
      <w:r>
        <w:rPr>
          <w:rFonts w:hint="eastAsia" w:ascii="仿宋_GB2312" w:hAnsi="仿宋" w:eastAsia="仿宋_GB2312" w:cs="仿宋_GB2312"/>
          <w:sz w:val="32"/>
          <w:szCs w:val="32"/>
        </w:rPr>
        <w:t>年末实有在职干部职工</w:t>
      </w:r>
      <w:r>
        <w:rPr>
          <w:rFonts w:ascii="仿宋_GB2312" w:hAnsi="仿宋" w:eastAsia="仿宋_GB2312" w:cs="仿宋_GB2312"/>
          <w:sz w:val="32"/>
          <w:szCs w:val="32"/>
        </w:rPr>
        <w:t>24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sz w:val="32"/>
          <w:szCs w:val="32"/>
        </w:rPr>
        <w:t>离退休人员</w:t>
      </w:r>
      <w:r>
        <w:rPr>
          <w:rFonts w:ascii="仿宋_GB2312" w:hAnsi="仿宋" w:eastAsia="仿宋_GB2312" w:cs="仿宋_GB2312"/>
          <w:sz w:val="32"/>
          <w:szCs w:val="32"/>
        </w:rPr>
        <w:t>17</w:t>
      </w:r>
      <w:r>
        <w:rPr>
          <w:rFonts w:hint="eastAsia" w:ascii="仿宋_GB2312" w:hAnsi="仿宋" w:eastAsia="仿宋_GB2312" w:cs="仿宋_GB2312"/>
          <w:sz w:val="32"/>
          <w:szCs w:val="32"/>
        </w:rPr>
        <w:t>人。</w:t>
      </w:r>
    </w:p>
    <w:p>
      <w:pPr>
        <w:spacing w:line="560" w:lineRule="exact"/>
        <w:ind w:firstLine="643" w:firstLineChars="200"/>
        <w:rPr>
          <w:rFonts w:ascii="仿宋_GB2312" w:hAnsi="黑体" w:eastAsia="仿宋_GB2312" w:cs="Times New Roman"/>
          <w:b/>
          <w:bCs/>
          <w:sz w:val="32"/>
          <w:szCs w:val="32"/>
          <w:lang w:eastAsia="zh-CN"/>
        </w:rPr>
      </w:pPr>
      <w:r>
        <w:rPr>
          <w:rFonts w:ascii="仿宋_GB2312" w:hAnsi="黑体" w:eastAsia="仿宋_GB2312" w:cs="仿宋_GB2312"/>
          <w:b/>
          <w:bCs/>
          <w:sz w:val="32"/>
          <w:szCs w:val="32"/>
          <w:lang w:eastAsia="zh-CN"/>
        </w:rPr>
        <w:t>3.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主要工作职责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）负责县政协全体会议、常务委员会议、主席会议、主席办公会议、常务委员专题座谈会议和专门委员会的会务工作，负责上述会议所形成的决议、决定、建议案的组织实施。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）协调县政协各专门委员会的工作，充分发挥县政协委员的作用，履行好政治协商、民主监督、参政议政的基本职责。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）负责县政协委员进行视察、参观、调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查</w:t>
      </w:r>
      <w:r>
        <w:rPr>
          <w:rFonts w:hint="eastAsia" w:ascii="仿宋_GB2312" w:eastAsia="仿宋_GB2312" w:cs="仿宋_GB2312"/>
          <w:sz w:val="32"/>
          <w:szCs w:val="32"/>
        </w:rPr>
        <w:t>、座谈、学习研讨等日常活动的服务和具体组织工作；受市政协办公室的委托，组织在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东安</w:t>
      </w:r>
      <w:r>
        <w:rPr>
          <w:rFonts w:hint="eastAsia" w:ascii="仿宋_GB2312" w:eastAsia="仿宋_GB2312" w:cs="仿宋_GB2312"/>
          <w:sz w:val="32"/>
          <w:szCs w:val="32"/>
        </w:rPr>
        <w:t>的市政协委员进行视察调研活动。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）研究统一战线和人民政协的理论、政策，调查研究地方政协的共同性问题及其解决办法，供领导参考。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）宣传人民政协的方针政策、工作业绩和经验以及政协委员的先进事迹，收集和反映县政协委员和各界人士的意见与建议，综合、反映社情民意。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）联系和指导全县各乡镇政协联络工作委员会的工作，联系县直有关部门、互通信息，协调工作，加强合作。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）负责县政协开展各项活动的有关组织、管理、协调、服务工作和县政协机关行政事务管理工作。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）负责接待来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东安</w:t>
      </w:r>
      <w:r>
        <w:rPr>
          <w:rFonts w:hint="eastAsia" w:ascii="仿宋_GB2312" w:eastAsia="仿宋_GB2312" w:cs="仿宋_GB2312"/>
          <w:sz w:val="32"/>
          <w:szCs w:val="32"/>
        </w:rPr>
        <w:t>考察、访问的海内外友好人士和对外联谊工作。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）承办市政协和县政协主席、副主席交办的其他事项。</w:t>
      </w:r>
    </w:p>
    <w:p>
      <w:pPr>
        <w:widowControl/>
        <w:shd w:val="clear" w:color="auto" w:fill="FFFFFF"/>
        <w:autoSpaceDE w:val="0"/>
        <w:spacing w:line="560" w:lineRule="exact"/>
        <w:ind w:firstLine="800" w:firstLineChars="249"/>
        <w:jc w:val="left"/>
        <w:rPr>
          <w:rFonts w:ascii="黑体" w:hAnsi="黑体" w:eastAsia="黑体" w:cs="Times New Roman"/>
          <w:b/>
          <w:bCs/>
          <w:color w:val="666666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  <w:lang w:eastAsia="zh-CN"/>
        </w:rPr>
        <w:t>二、整体支出使用管理情况</w:t>
      </w:r>
    </w:p>
    <w:p>
      <w:pPr>
        <w:widowControl/>
        <w:shd w:val="clear" w:color="auto" w:fill="FFFFFF"/>
        <w:autoSpaceDE w:val="0"/>
        <w:spacing w:line="560" w:lineRule="exact"/>
        <w:ind w:firstLine="643"/>
        <w:jc w:val="left"/>
        <w:rPr>
          <w:rFonts w:ascii="仿宋" w:hAnsi="仿宋" w:eastAsia="仿宋" w:cs="Times New Roman"/>
          <w:b/>
          <w:bCs/>
          <w:color w:val="666666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  <w:lang w:eastAsia="zh-CN"/>
        </w:rPr>
        <w:t>（一）基本支出使用管理情况</w:t>
      </w:r>
    </w:p>
    <w:p>
      <w:pPr>
        <w:spacing w:line="560" w:lineRule="exact"/>
        <w:ind w:firstLine="640"/>
        <w:rPr>
          <w:rFonts w:ascii="仿宋" w:hAnsi="仿宋" w:eastAsia="仿宋" w:cs="Times New Roman"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基本支出的范围和主要用途包括人员经费和日常公用经费。</w:t>
      </w:r>
    </w:p>
    <w:p>
      <w:pPr>
        <w:spacing w:line="560" w:lineRule="exact"/>
        <w:ind w:firstLine="640"/>
        <w:rPr>
          <w:rFonts w:ascii="仿宋" w:hAnsi="仿宋" w:eastAsia="仿宋" w:cs="Times New Roman"/>
          <w:color w:val="555555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基本支出的管理和使用情况如下：工资福利支出</w:t>
      </w:r>
      <w:r>
        <w:rPr>
          <w:rFonts w:ascii="仿宋" w:hAnsi="仿宋" w:eastAsia="仿宋" w:cs="仿宋"/>
          <w:color w:val="222222"/>
          <w:kern w:val="0"/>
          <w:sz w:val="32"/>
          <w:szCs w:val="32"/>
          <w:lang w:eastAsia="zh-CN"/>
        </w:rPr>
        <w:t>247.3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万元、一般商品和服务支出</w:t>
      </w:r>
      <w:r>
        <w:rPr>
          <w:rFonts w:ascii="仿宋" w:hAnsi="仿宋" w:eastAsia="仿宋" w:cs="仿宋"/>
          <w:color w:val="222222"/>
          <w:kern w:val="0"/>
          <w:sz w:val="32"/>
          <w:szCs w:val="32"/>
          <w:lang w:eastAsia="zh-CN"/>
        </w:rPr>
        <w:t>132.25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万元，主要用于会议费、差旅费、办公费、公务接待费等及其他日常办公的正常开支。</w:t>
      </w:r>
    </w:p>
    <w:p>
      <w:pPr>
        <w:widowControl/>
        <w:shd w:val="clear" w:color="auto" w:fill="FFFFFF"/>
        <w:autoSpaceDE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bCs/>
          <w:color w:val="666666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  <w:lang w:eastAsia="zh-CN"/>
        </w:rPr>
        <w:t>（二）“三公”经费使用管理执行情况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2017</w:t>
      </w:r>
      <w:r>
        <w:rPr>
          <w:rFonts w:hint="eastAsia" w:ascii="仿宋_GB2312" w:hAnsi="仿宋" w:eastAsia="仿宋_GB2312" w:cs="仿宋_GB2312"/>
          <w:sz w:val="32"/>
          <w:szCs w:val="32"/>
        </w:rPr>
        <w:t>年“三公经费”财政拨款支出共</w:t>
      </w:r>
      <w:r>
        <w:rPr>
          <w:rFonts w:ascii="仿宋_GB2312" w:hAnsi="仿宋" w:eastAsia="仿宋_GB2312" w:cs="仿宋_GB2312"/>
          <w:sz w:val="32"/>
          <w:szCs w:val="32"/>
        </w:rPr>
        <w:t>8.95</w:t>
      </w:r>
      <w:r>
        <w:rPr>
          <w:rFonts w:hint="eastAsia" w:ascii="仿宋_GB2312" w:hAnsi="仿宋" w:eastAsia="仿宋_GB2312" w:cs="仿宋_GB2312"/>
          <w:sz w:val="32"/>
          <w:szCs w:val="32"/>
        </w:rPr>
        <w:t>万元，因公车改革，本年度无公务用车运行费。具体如下：</w:t>
      </w:r>
    </w:p>
    <w:p>
      <w:pPr>
        <w:spacing w:line="560" w:lineRule="exact"/>
        <w:ind w:left="479" w:leftChars="228" w:firstLine="160" w:firstLineChars="5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、公务接待费支出</w:t>
      </w:r>
      <w:r>
        <w:rPr>
          <w:rFonts w:ascii="仿宋_GB2312" w:hAnsi="仿宋" w:eastAsia="仿宋_GB2312" w:cs="仿宋_GB2312"/>
          <w:sz w:val="32"/>
          <w:szCs w:val="32"/>
        </w:rPr>
        <w:t>8.95</w:t>
      </w:r>
      <w:r>
        <w:rPr>
          <w:rFonts w:hint="eastAsia" w:ascii="仿宋_GB2312" w:hAnsi="仿宋" w:eastAsia="仿宋_GB2312" w:cs="仿宋_GB2312"/>
          <w:sz w:val="32"/>
          <w:szCs w:val="32"/>
        </w:rPr>
        <w:t>万元，主要用于</w:t>
      </w:r>
      <w:r>
        <w:rPr>
          <w:rFonts w:hint="eastAsia" w:ascii="仿宋_GB2312" w:eastAsia="仿宋_GB2312" w:cs="仿宋_GB2312"/>
          <w:sz w:val="32"/>
          <w:szCs w:val="32"/>
        </w:rPr>
        <w:t>其他市、县（区）</w:t>
      </w:r>
    </w:p>
    <w:p>
      <w:pPr>
        <w:spacing w:line="560" w:lineRule="exact"/>
        <w:ind w:left="160" w:leftChars="76" w:firstLine="16" w:firstLineChars="5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政协系统到东安交流工作及调研、政协委员到政协汇报联络工作、招商引资等支出。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、公务用车购置费无支出；公务用车运行维护费支出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、因公出国（境）费无支出。</w:t>
      </w:r>
    </w:p>
    <w:p>
      <w:pPr>
        <w:widowControl/>
        <w:shd w:val="clear" w:color="auto" w:fill="FFFFFF"/>
        <w:autoSpaceDE w:val="0"/>
        <w:spacing w:line="560" w:lineRule="exact"/>
        <w:ind w:firstLine="643"/>
        <w:jc w:val="left"/>
        <w:rPr>
          <w:rFonts w:ascii="黑体" w:hAnsi="黑体" w:eastAsia="黑体" w:cs="Times New Roman"/>
          <w:b/>
          <w:bCs/>
          <w:color w:val="22222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  <w:lang w:eastAsia="zh-CN"/>
        </w:rPr>
        <w:t>三、部门整体支出管理情况</w:t>
      </w:r>
    </w:p>
    <w:p>
      <w:pPr>
        <w:widowControl/>
        <w:spacing w:line="560" w:lineRule="exact"/>
        <w:ind w:firstLine="64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我们严格预算管理，切实按照县委出台的五项管理制度要求，</w:t>
      </w:r>
      <w:r>
        <w:rPr>
          <w:rFonts w:hint="eastAsia" w:ascii="仿宋" w:hAnsi="仿宋" w:eastAsia="仿宋" w:cs="仿宋"/>
          <w:color w:val="555555"/>
          <w:kern w:val="0"/>
          <w:sz w:val="32"/>
          <w:szCs w:val="32"/>
          <w:lang w:eastAsia="zh-CN"/>
        </w:rPr>
        <w:t>坚持执行财经和财务制度，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修改完善了机关财务管理规定、公务接待管理规定等工作制度，进一步明确了财政预算资金审批手续和拨付程序、机关行政经费审批手续和报销程序，加强了财务管理，规范了收支行为，保证了财务管理工作规范有序进行。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eastAsia="zh-CN"/>
        </w:rPr>
        <w:t>2017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年我单位没有基本建设、大型房屋维修等支出项目。</w:t>
      </w:r>
    </w:p>
    <w:p>
      <w:pPr>
        <w:spacing w:line="560" w:lineRule="exact"/>
        <w:ind w:firstLine="640"/>
        <w:rPr>
          <w:rFonts w:ascii="仿宋" w:hAnsi="仿宋" w:eastAsia="仿宋" w:cs="Times New Roman"/>
          <w:color w:val="555555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我们按照绩效评价规程要求，第一阶段为前期准备：制定了详细的工作方案，明确责任，确定评价指标细则；第二阶段为自评：根据上一阶段任务布置，按照要求展开自评工作，并初拟评价结果；第三阶段为定性终评，查阅相关文件资料和财务凭证，对收集资料进行定量定性分析，综合评议后形成评价结论，出具绩效评价报告从上表反映出：工资福利支出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247.3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万元、日常公用经费</w:t>
      </w:r>
      <w:r>
        <w:rPr>
          <w:rFonts w:ascii="仿宋" w:hAnsi="仿宋" w:eastAsia="仿宋" w:cs="仿宋"/>
          <w:sz w:val="32"/>
          <w:szCs w:val="32"/>
          <w:lang w:eastAsia="zh-CN"/>
        </w:rPr>
        <w:t>132.25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万元，主要用于会议费、差旅费、办公费、公务接待费等及其他日常办公的正常开支。</w:t>
      </w:r>
    </w:p>
    <w:p>
      <w:pPr>
        <w:widowControl/>
        <w:shd w:val="clear" w:color="auto" w:fill="FFFFFF"/>
        <w:autoSpaceDE w:val="0"/>
        <w:spacing w:line="560" w:lineRule="exact"/>
        <w:ind w:firstLine="640"/>
        <w:jc w:val="left"/>
        <w:rPr>
          <w:rFonts w:ascii="黑体" w:hAnsi="黑体" w:eastAsia="黑体" w:cs="Times New Roman"/>
          <w:b/>
          <w:bCs/>
          <w:color w:val="666666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  <w:lang w:eastAsia="zh-CN"/>
        </w:rPr>
        <w:t>四、部门整体支出绩效情况</w:t>
      </w:r>
    </w:p>
    <w:p>
      <w:pPr>
        <w:widowControl/>
        <w:shd w:val="clear" w:color="auto" w:fill="FFFFFF"/>
        <w:autoSpaceDE w:val="0"/>
        <w:spacing w:line="560" w:lineRule="exact"/>
        <w:ind w:firstLine="640"/>
        <w:jc w:val="left"/>
        <w:rPr>
          <w:rFonts w:ascii="仿宋" w:hAnsi="仿宋" w:eastAsia="仿宋" w:cs="Times New Roman"/>
          <w:color w:val="222222"/>
          <w:kern w:val="0"/>
          <w:sz w:val="32"/>
          <w:szCs w:val="32"/>
          <w:lang w:eastAsia="zh-CN"/>
        </w:rPr>
      </w:pPr>
      <w:r>
        <w:rPr>
          <w:rFonts w:ascii="仿宋" w:hAnsi="仿宋" w:eastAsia="仿宋" w:cs="仿宋"/>
          <w:color w:val="222222"/>
          <w:kern w:val="0"/>
          <w:sz w:val="32"/>
          <w:szCs w:val="32"/>
          <w:lang w:eastAsia="zh-CN"/>
        </w:rPr>
        <w:t>2017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年，</w:t>
      </w:r>
      <w:r>
        <w:rPr>
          <w:rFonts w:hint="eastAsia" w:ascii="仿宋" w:hAnsi="仿宋" w:eastAsia="仿宋" w:cs="仿宋"/>
          <w:sz w:val="32"/>
          <w:szCs w:val="32"/>
        </w:rPr>
        <w:t>根据县委批转的《东安县政协</w:t>
      </w: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年工作要点》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，围绕全面建成小康社会的发展蓝图，积极履职，强化管理，较好的完成了年度工作目标。通过加强预算收支管理，不断建立健全内部管理制度，梳理内部管理流程，部门整体支出管理情况得到提升。</w:t>
      </w:r>
    </w:p>
    <w:p>
      <w:pPr>
        <w:tabs>
          <w:tab w:val="right" w:pos="8306"/>
        </w:tabs>
        <w:spacing w:line="560" w:lineRule="exact"/>
        <w:ind w:firstLine="643" w:firstLineChars="200"/>
        <w:rPr>
          <w:rFonts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继往开来、锐意进取，政治协商实效显著</w:t>
      </w:r>
      <w:r>
        <w:rPr>
          <w:rFonts w:ascii="仿宋_GB2312" w:hAnsi="仿宋" w:eastAsia="仿宋_GB2312" w:cs="Times New Roman"/>
          <w:b/>
          <w:bCs/>
          <w:sz w:val="32"/>
          <w:szCs w:val="32"/>
        </w:rPr>
        <w:tab/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>按照政协多层次协商议政格局，组织委员围绕经济社会发展中的重大问题积极建言献策，对全县上半年经济运行情况、食品药品工商质量监督管理局、“五城同创”工作和县政府提案办理、大会发言领导批示、为民办九件实事落实情况等进行了重点协商。</w:t>
      </w:r>
    </w:p>
    <w:p>
      <w:pPr>
        <w:tabs>
          <w:tab w:val="right" w:pos="8306"/>
        </w:tabs>
        <w:spacing w:line="560" w:lineRule="exact"/>
        <w:ind w:firstLine="643" w:firstLineChars="200"/>
        <w:rPr>
          <w:rFonts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突出重点、拓宽渠道，民主监督富有成效。</w:t>
      </w:r>
      <w:r>
        <w:rPr>
          <w:rFonts w:hint="eastAsia" w:ascii="仿宋_GB2312" w:hAnsi="仿宋" w:eastAsia="仿宋_GB2312" w:cs="仿宋_GB2312"/>
          <w:sz w:val="32"/>
          <w:szCs w:val="32"/>
        </w:rPr>
        <w:t>扎实推进提案办理，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有效开展民主评议，</w:t>
      </w:r>
      <w:r>
        <w:rPr>
          <w:rFonts w:hint="eastAsia" w:ascii="仿宋_GB2312" w:hAnsi="仿宋" w:eastAsia="仿宋_GB2312" w:cs="仿宋_GB2312"/>
          <w:sz w:val="32"/>
          <w:szCs w:val="32"/>
        </w:rPr>
        <w:t>委派民主监督员工作有特色。今年以来，着重对全县“三重”工作，即重大项目、重点单位、重要工作进行监督。对执法、民生、窗口等部门委派了</w:t>
      </w:r>
      <w:r>
        <w:rPr>
          <w:rFonts w:ascii="仿宋_GB2312" w:hAnsi="仿宋" w:eastAsia="仿宋_GB2312" w:cs="仿宋_GB2312"/>
          <w:sz w:val="32"/>
          <w:szCs w:val="32"/>
        </w:rPr>
        <w:t>12</w:t>
      </w:r>
      <w:r>
        <w:rPr>
          <w:rFonts w:hint="eastAsia" w:ascii="仿宋_GB2312" w:hAnsi="仿宋" w:eastAsia="仿宋_GB2312" w:cs="仿宋_GB2312"/>
          <w:sz w:val="32"/>
          <w:szCs w:val="32"/>
        </w:rPr>
        <w:t>个民主监督小组，帮助和促进各受派单位转变了工作作风、提高了工作效率、增强了为民服务意识、加强了党风廉政建设，社会反映良好。</w:t>
      </w:r>
    </w:p>
    <w:p>
      <w:pPr>
        <w:tabs>
          <w:tab w:val="right" w:pos="8306"/>
        </w:tabs>
        <w:spacing w:line="560" w:lineRule="exact"/>
        <w:ind w:firstLine="643" w:firstLineChars="200"/>
        <w:rPr>
          <w:rFonts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精选课题、深入调研，参政议政献计出力。</w:t>
      </w:r>
      <w:r>
        <w:rPr>
          <w:rFonts w:hint="eastAsia" w:ascii="仿宋_GB2312" w:hAnsi="仿宋" w:eastAsia="仿宋_GB2312" w:cs="仿宋_GB2312"/>
          <w:sz w:val="32"/>
          <w:szCs w:val="32"/>
        </w:rPr>
        <w:t>坚持以各专委会为依托，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推行“集中调研”与“专题调研”相结合的方式，</w:t>
      </w:r>
      <w:r>
        <w:rPr>
          <w:rFonts w:hint="eastAsia" w:ascii="仿宋_GB2312" w:hAnsi="仿宋" w:eastAsia="仿宋_GB2312" w:cs="仿宋_GB2312"/>
          <w:sz w:val="32"/>
          <w:szCs w:val="32"/>
        </w:rPr>
        <w:t>组织相关界别委员开展调查研究，我们对“加强财源建设，促进全面小康”、“优化非公经济发展法治环境”、“培育新型农业经营主体”、“教育扶贫”等课题开展调查研究，完成了质量较高的调查报告，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为全县经济社会发展</w:t>
      </w:r>
      <w:r>
        <w:rPr>
          <w:rFonts w:hint="eastAsia" w:ascii="仿宋_GB2312" w:hAnsi="仿宋" w:eastAsia="仿宋_GB2312" w:cs="仿宋_GB2312"/>
          <w:sz w:val="32"/>
          <w:szCs w:val="32"/>
        </w:rPr>
        <w:t>提出具有前瞻性、创新性、可操作性的意见建议。同时，配合市政协做好了“优化非公经济发展法治环境”“湘江生态流域源头保护”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“园区升级”“精准扶贫”“教育扶贫”等相关课题调研工作。</w:t>
      </w:r>
      <w:r>
        <w:rPr>
          <w:rFonts w:ascii="仿宋_GB2312" w:hAnsi="仿宋" w:eastAsia="仿宋_GB2312" w:cs="仿宋_GB2312"/>
          <w:sz w:val="32"/>
          <w:szCs w:val="32"/>
        </w:rPr>
        <w:t>2017</w:t>
      </w:r>
      <w:r>
        <w:rPr>
          <w:rFonts w:hint="eastAsia" w:ascii="仿宋_GB2312" w:hAnsi="仿宋" w:eastAsia="仿宋_GB2312" w:cs="仿宋_GB2312"/>
          <w:sz w:val="32"/>
          <w:szCs w:val="32"/>
        </w:rPr>
        <w:t>年，对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“全国全域旅游示范区”创建和“</w:t>
      </w:r>
      <w:r>
        <w:rPr>
          <w:rFonts w:ascii="仿宋_GB2312" w:hAnsi="仿宋" w:eastAsia="仿宋_GB2312" w:cs="仿宋_GB2312"/>
          <w:sz w:val="32"/>
          <w:szCs w:val="32"/>
        </w:rPr>
        <w:t>135</w:t>
      </w:r>
      <w:r>
        <w:rPr>
          <w:rFonts w:hint="eastAsia" w:ascii="仿宋_GB2312" w:hAnsi="仿宋" w:eastAsia="仿宋_GB2312" w:cs="仿宋_GB2312"/>
          <w:sz w:val="32"/>
          <w:szCs w:val="32"/>
        </w:rPr>
        <w:t>创新创业园”、神华国华火电厂、红狮水泥、芦江水库、冷东城际快速等重点项目建设开展视察，有力地促动了各部门各单位的工作开展。按照县委统一部署，县政协积极融入中心工作，着力参与了“六大战役”、创“国卫”、重点项目建设、精准扶贫、综治维稳等工作，为精准扶贫和村支两委工作献出了政协力量。发挥优势，倾情投入，精准扶贫彰显力量。不断创新、树立形象，扎实推进自身建设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right" w:pos="8306"/>
        </w:tabs>
        <w:spacing w:line="560" w:lineRule="exact"/>
        <w:ind w:firstLine="643" w:firstLineChars="200"/>
        <w:rPr>
          <w:rFonts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政协信息化建设取得实效。</w:t>
      </w:r>
      <w:r>
        <w:rPr>
          <w:rFonts w:hint="eastAsia" w:ascii="仿宋" w:hAnsi="仿宋" w:eastAsia="仿宋" w:cs="仿宋"/>
          <w:sz w:val="32"/>
          <w:szCs w:val="32"/>
        </w:rPr>
        <w:t>一是多途径加强政协宣传。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截至目前</w:t>
      </w:r>
      <w:r>
        <w:rPr>
          <w:rFonts w:hint="eastAsia" w:ascii="仿宋" w:hAnsi="仿宋" w:eastAsia="仿宋" w:cs="仿宋"/>
          <w:sz w:val="32"/>
          <w:szCs w:val="32"/>
        </w:rPr>
        <w:t>发行《东安政协》刊物二期，出版发行《东安古诗文》选萃；在管理好“东安政协网站”的同时，创建“东安政协微信公众号”，为宣传政协工作和委员履职提供了新平台；今年以来，我们向省、市上报送各类文章、社情民意信息</w:t>
      </w:r>
      <w:r>
        <w:rPr>
          <w:rFonts w:ascii="仿宋" w:hAnsi="仿宋" w:eastAsia="仿宋" w:cs="仿宋"/>
          <w:sz w:val="32"/>
          <w:szCs w:val="32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多篇（条），其中省级刊物媒体采用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篇（条），市级采用</w:t>
      </w:r>
      <w:r>
        <w:rPr>
          <w:rFonts w:ascii="仿宋" w:hAnsi="仿宋" w:eastAsia="仿宋" w:cs="仿宋"/>
          <w:sz w:val="32"/>
          <w:szCs w:val="32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多篇（条），引起相关部门的高度重视。今年，我县政协还在全市政协工作会议上作典型发言。二是“政协云”工作出色完成。我县政协作为永州市“社会网格化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政协云”试点县区之一，县委县政府高度重视，我县政协第一个实现委员安装手机</w:t>
      </w:r>
      <w:r>
        <w:rPr>
          <w:rFonts w:ascii="仿宋" w:hAnsi="仿宋" w:eastAsia="仿宋" w:cs="仿宋"/>
          <w:sz w:val="32"/>
          <w:szCs w:val="32"/>
        </w:rPr>
        <w:t>APP</w:t>
      </w:r>
      <w:r>
        <w:rPr>
          <w:rFonts w:hint="eastAsia" w:ascii="仿宋" w:hAnsi="仿宋" w:eastAsia="仿宋" w:cs="仿宋"/>
          <w:sz w:val="32"/>
          <w:szCs w:val="32"/>
        </w:rPr>
        <w:t>全覆盖，第一个实现“社会网格化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政协云”试点对接使用，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日“政协云”正式上线运营。日前，我县政协的“政协云”登陆、使用、贡献都排在全省前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tabs>
          <w:tab w:val="right" w:pos="8306"/>
        </w:tabs>
        <w:spacing w:line="560" w:lineRule="exact"/>
        <w:ind w:firstLine="643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美丽机关创建成绩斐然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>充分发挥政协委员“人才汇聚、智力密集”的优势，成立县政协书画室，举办了“献礼十九大，赞美新东安”画展，全力支持书画室成员陈伯勋成功申报《红楼梦》行楷书法长卷世界记录；把机关走廊布置成“文化长廊”，开展“学国学，诵经典”活动，积极争创市文明单位，书写好“东安历史”，描绘好“美丽东安”，树立了政协崭新形象，进一步推动我县政协履职工作制度化、程序化、规范化建设。</w:t>
      </w:r>
    </w:p>
    <w:p>
      <w:pPr>
        <w:widowControl/>
        <w:shd w:val="clear" w:color="auto" w:fill="FFFFFF"/>
        <w:autoSpaceDE w:val="0"/>
        <w:spacing w:line="560" w:lineRule="exact"/>
        <w:ind w:firstLine="640"/>
        <w:jc w:val="left"/>
        <w:rPr>
          <w:rFonts w:ascii="宋体" w:cs="Times New Roman"/>
          <w:b/>
          <w:bCs/>
          <w:color w:val="666666"/>
          <w:w w:val="9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222222"/>
          <w:kern w:val="0"/>
          <w:sz w:val="32"/>
          <w:szCs w:val="32"/>
          <w:lang w:eastAsia="zh-CN"/>
        </w:rPr>
        <w:t>五、</w:t>
      </w:r>
      <w:r>
        <w:rPr>
          <w:rFonts w:hint="eastAsia" w:ascii="宋体" w:hAnsi="宋体" w:cs="宋体"/>
          <w:b/>
          <w:bCs/>
          <w:color w:val="222222"/>
          <w:w w:val="90"/>
          <w:kern w:val="0"/>
          <w:sz w:val="32"/>
          <w:szCs w:val="32"/>
          <w:lang w:eastAsia="zh-CN"/>
        </w:rPr>
        <w:t>结合《部门整体支出绩效评价指标表》（见附表）的评价结果。</w:t>
      </w:r>
    </w:p>
    <w:p>
      <w:pPr>
        <w:widowControl/>
        <w:shd w:val="clear" w:color="auto" w:fill="FFFFFF"/>
        <w:autoSpaceDE w:val="0"/>
        <w:spacing w:line="560" w:lineRule="exact"/>
        <w:ind w:firstLine="640"/>
        <w:jc w:val="left"/>
        <w:rPr>
          <w:rFonts w:ascii="宋体" w:cs="Times New Roman"/>
          <w:b/>
          <w:bCs/>
          <w:color w:val="222222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222222"/>
          <w:kern w:val="0"/>
          <w:sz w:val="32"/>
          <w:szCs w:val="32"/>
          <w:lang w:eastAsia="zh-CN"/>
        </w:rPr>
        <w:t>六、存在的主要问题。</w:t>
      </w:r>
    </w:p>
    <w:p>
      <w:pPr>
        <w:widowControl/>
        <w:shd w:val="clear" w:color="auto" w:fill="FFFFFF"/>
        <w:autoSpaceDE w:val="0"/>
        <w:spacing w:line="560" w:lineRule="exact"/>
        <w:ind w:firstLine="640"/>
        <w:jc w:val="left"/>
        <w:rPr>
          <w:rFonts w:ascii="仿宋" w:hAnsi="仿宋" w:eastAsia="仿宋" w:cs="Times New Roman"/>
          <w:color w:val="666666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相关管理制度有待进一步加强。</w:t>
      </w:r>
    </w:p>
    <w:p>
      <w:pPr>
        <w:widowControl/>
        <w:shd w:val="clear" w:color="auto" w:fill="FFFFFF"/>
        <w:autoSpaceDE w:val="0"/>
        <w:spacing w:line="560" w:lineRule="exact"/>
        <w:ind w:firstLine="640"/>
        <w:jc w:val="left"/>
        <w:rPr>
          <w:rFonts w:ascii="宋体" w:cs="Times New Roman"/>
          <w:b/>
          <w:bCs/>
          <w:color w:val="222222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222222"/>
          <w:kern w:val="0"/>
          <w:sz w:val="32"/>
          <w:szCs w:val="32"/>
          <w:lang w:eastAsia="zh-CN"/>
        </w:rPr>
        <w:t>七、改进措施和有关建议</w:t>
      </w:r>
    </w:p>
    <w:p>
      <w:pPr>
        <w:widowControl/>
        <w:shd w:val="clear" w:color="auto" w:fill="FFFFFF"/>
        <w:autoSpaceDE w:val="0"/>
        <w:spacing w:line="560" w:lineRule="exact"/>
        <w:ind w:firstLine="640"/>
        <w:jc w:val="left"/>
        <w:rPr>
          <w:rFonts w:ascii="宋体" w:cs="Times New Roman"/>
          <w:b/>
          <w:bCs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针对上述存在的问题及整体支出管理工作的需要，拟实施的改进措施如下：</w:t>
      </w:r>
    </w:p>
    <w:p>
      <w:pPr>
        <w:widowControl/>
        <w:shd w:val="clear" w:color="auto" w:fill="FFFFFF"/>
        <w:autoSpaceDE w:val="0"/>
        <w:spacing w:line="560" w:lineRule="exact"/>
        <w:ind w:firstLine="640"/>
        <w:jc w:val="left"/>
        <w:rPr>
          <w:rFonts w:ascii="仿宋" w:hAnsi="仿宋" w:eastAsia="仿宋" w:cs="Times New Roman"/>
          <w:color w:val="666666"/>
          <w:kern w:val="0"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bCs/>
          <w:color w:val="222222"/>
          <w:kern w:val="0"/>
          <w:sz w:val="32"/>
          <w:szCs w:val="32"/>
          <w:lang w:eastAsia="zh-CN"/>
        </w:rPr>
        <w:t xml:space="preserve">1. 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  <w:lang w:eastAsia="zh-CN"/>
        </w:rPr>
        <w:t>细化预算编制工作，认真做好预算的编制。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进一步加强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预算“二上二下”方式，提高预算的合理性和准确性。</w:t>
      </w:r>
    </w:p>
    <w:p>
      <w:pPr>
        <w:widowControl/>
        <w:shd w:val="clear" w:color="auto" w:fill="FFFFFF"/>
        <w:autoSpaceDE w:val="0"/>
        <w:spacing w:line="560" w:lineRule="exact"/>
        <w:ind w:firstLine="640"/>
        <w:jc w:val="left"/>
        <w:rPr>
          <w:rFonts w:ascii="仿宋" w:hAnsi="仿宋" w:eastAsia="仿宋" w:cs="Times New Roman"/>
          <w:color w:val="666666"/>
          <w:kern w:val="0"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bCs/>
          <w:color w:val="222222"/>
          <w:kern w:val="0"/>
          <w:sz w:val="32"/>
          <w:szCs w:val="32"/>
          <w:lang w:eastAsia="zh-CN"/>
        </w:rPr>
        <w:t xml:space="preserve">2. 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  <w:lang w:eastAsia="zh-CN"/>
        </w:rPr>
        <w:t>加强财务管理，严格财务审核。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在费用报账支付时，按照预算规定的费用项目和用途进行资金使用审核、列报支付、财务核算，杜绝超支现象的发生。</w:t>
      </w:r>
    </w:p>
    <w:p>
      <w:pPr>
        <w:widowControl/>
        <w:shd w:val="clear" w:color="auto" w:fill="FFFFFF"/>
        <w:autoSpaceDE w:val="0"/>
        <w:spacing w:line="560" w:lineRule="exact"/>
        <w:ind w:firstLine="640"/>
        <w:jc w:val="left"/>
        <w:rPr>
          <w:rFonts w:ascii="仿宋" w:hAnsi="仿宋" w:eastAsia="仿宋" w:cs="Times New Roman"/>
          <w:color w:val="666666"/>
          <w:kern w:val="0"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bCs/>
          <w:color w:val="222222"/>
          <w:kern w:val="0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  <w:lang w:eastAsia="zh-CN"/>
        </w:rPr>
        <w:t>．持续抓好“三公”经费控制管理。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widowControl/>
        <w:shd w:val="clear" w:color="auto" w:fill="FFFFFF"/>
        <w:autoSpaceDE w:val="0"/>
        <w:spacing w:line="560" w:lineRule="exact"/>
        <w:ind w:firstLine="640"/>
        <w:jc w:val="left"/>
        <w:rPr>
          <w:rFonts w:ascii="宋体" w:cs="Times New Roman"/>
          <w:color w:val="222222"/>
          <w:kern w:val="0"/>
          <w:sz w:val="32"/>
          <w:szCs w:val="32"/>
          <w:lang w:eastAsia="zh-CN"/>
        </w:rPr>
      </w:pPr>
      <w:r>
        <w:rPr>
          <w:rFonts w:ascii="宋体" w:hAnsi="宋体" w:cs="宋体"/>
          <w:color w:val="222222"/>
          <w:kern w:val="0"/>
          <w:sz w:val="32"/>
          <w:szCs w:val="32"/>
          <w:lang w:eastAsia="zh-CN"/>
        </w:rPr>
        <w:t xml:space="preserve">                                    </w:t>
      </w:r>
    </w:p>
    <w:p>
      <w:pPr>
        <w:shd w:val="clear" w:color="auto" w:fill="FFFFFF"/>
        <w:autoSpaceDE w:val="0"/>
        <w:spacing w:line="560" w:lineRule="exact"/>
        <w:jc w:val="center"/>
        <w:rPr>
          <w:rFonts w:ascii="宋体" w:cs="Times New Roman"/>
          <w:color w:val="666666"/>
          <w:kern w:val="0"/>
          <w:sz w:val="32"/>
          <w:szCs w:val="32"/>
          <w:lang w:eastAsia="zh-CN"/>
        </w:rPr>
      </w:pPr>
      <w:r>
        <w:rPr>
          <w:rFonts w:ascii="宋体" w:hAnsi="宋体" w:cs="宋体"/>
          <w:color w:val="222222"/>
          <w:kern w:val="0"/>
          <w:sz w:val="32"/>
          <w:szCs w:val="32"/>
          <w:lang w:eastAsia="zh-CN"/>
        </w:rPr>
        <w:t xml:space="preserve"> 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FjZmEyMjYwYjFjYjMwNjIwODYyMTM5YjI1MjUxNTMifQ=="/>
  </w:docVars>
  <w:rsids>
    <w:rsidRoot w:val="00101DC9"/>
    <w:rsid w:val="0000256B"/>
    <w:rsid w:val="00015978"/>
    <w:rsid w:val="00016A50"/>
    <w:rsid w:val="000A1A11"/>
    <w:rsid w:val="000B7224"/>
    <w:rsid w:val="00101DC9"/>
    <w:rsid w:val="0012158F"/>
    <w:rsid w:val="00143E84"/>
    <w:rsid w:val="00154AF3"/>
    <w:rsid w:val="00165C7F"/>
    <w:rsid w:val="00171A4A"/>
    <w:rsid w:val="0019185B"/>
    <w:rsid w:val="001931C6"/>
    <w:rsid w:val="001A7B17"/>
    <w:rsid w:val="001B4188"/>
    <w:rsid w:val="001E1747"/>
    <w:rsid w:val="001E2C38"/>
    <w:rsid w:val="001F033C"/>
    <w:rsid w:val="00206D09"/>
    <w:rsid w:val="002726DF"/>
    <w:rsid w:val="00291936"/>
    <w:rsid w:val="002941B5"/>
    <w:rsid w:val="00294FA8"/>
    <w:rsid w:val="00295C4F"/>
    <w:rsid w:val="002B298B"/>
    <w:rsid w:val="002B78D5"/>
    <w:rsid w:val="002D2775"/>
    <w:rsid w:val="003434F9"/>
    <w:rsid w:val="003560B5"/>
    <w:rsid w:val="0037683C"/>
    <w:rsid w:val="003972DA"/>
    <w:rsid w:val="003B052D"/>
    <w:rsid w:val="00444335"/>
    <w:rsid w:val="00453752"/>
    <w:rsid w:val="004543DA"/>
    <w:rsid w:val="00456F59"/>
    <w:rsid w:val="00460287"/>
    <w:rsid w:val="004677C5"/>
    <w:rsid w:val="00496F77"/>
    <w:rsid w:val="004B58E7"/>
    <w:rsid w:val="004B62D9"/>
    <w:rsid w:val="004E350F"/>
    <w:rsid w:val="004F495B"/>
    <w:rsid w:val="00521EF1"/>
    <w:rsid w:val="00537BA2"/>
    <w:rsid w:val="0054623A"/>
    <w:rsid w:val="00555715"/>
    <w:rsid w:val="00566D1C"/>
    <w:rsid w:val="005B024E"/>
    <w:rsid w:val="005B66B5"/>
    <w:rsid w:val="005D330D"/>
    <w:rsid w:val="005F51A5"/>
    <w:rsid w:val="006333EF"/>
    <w:rsid w:val="006366C0"/>
    <w:rsid w:val="00664E2B"/>
    <w:rsid w:val="006737C3"/>
    <w:rsid w:val="00682DA9"/>
    <w:rsid w:val="006B6017"/>
    <w:rsid w:val="006D081C"/>
    <w:rsid w:val="006E7463"/>
    <w:rsid w:val="00713D74"/>
    <w:rsid w:val="0076306A"/>
    <w:rsid w:val="00775C5A"/>
    <w:rsid w:val="007807C3"/>
    <w:rsid w:val="007B3A90"/>
    <w:rsid w:val="007D4156"/>
    <w:rsid w:val="007D5E38"/>
    <w:rsid w:val="007E5774"/>
    <w:rsid w:val="00801E6A"/>
    <w:rsid w:val="008051F3"/>
    <w:rsid w:val="008408DD"/>
    <w:rsid w:val="00844387"/>
    <w:rsid w:val="008444A0"/>
    <w:rsid w:val="00860DF0"/>
    <w:rsid w:val="008647D5"/>
    <w:rsid w:val="008A6587"/>
    <w:rsid w:val="008B117E"/>
    <w:rsid w:val="008B12DB"/>
    <w:rsid w:val="00920A80"/>
    <w:rsid w:val="00921E03"/>
    <w:rsid w:val="0092550F"/>
    <w:rsid w:val="009406E0"/>
    <w:rsid w:val="0095236E"/>
    <w:rsid w:val="00966613"/>
    <w:rsid w:val="00980112"/>
    <w:rsid w:val="00985E25"/>
    <w:rsid w:val="00987A45"/>
    <w:rsid w:val="00990F67"/>
    <w:rsid w:val="00A05CEE"/>
    <w:rsid w:val="00A1284D"/>
    <w:rsid w:val="00A15017"/>
    <w:rsid w:val="00A223ED"/>
    <w:rsid w:val="00A31B4F"/>
    <w:rsid w:val="00A35949"/>
    <w:rsid w:val="00A5118F"/>
    <w:rsid w:val="00A81F90"/>
    <w:rsid w:val="00AB6891"/>
    <w:rsid w:val="00B106EA"/>
    <w:rsid w:val="00B24290"/>
    <w:rsid w:val="00B569F0"/>
    <w:rsid w:val="00B65149"/>
    <w:rsid w:val="00B71006"/>
    <w:rsid w:val="00B724AC"/>
    <w:rsid w:val="00B94ABA"/>
    <w:rsid w:val="00B96988"/>
    <w:rsid w:val="00BA6A32"/>
    <w:rsid w:val="00BA783C"/>
    <w:rsid w:val="00BB1814"/>
    <w:rsid w:val="00BF69ED"/>
    <w:rsid w:val="00C0352C"/>
    <w:rsid w:val="00C23502"/>
    <w:rsid w:val="00C457EA"/>
    <w:rsid w:val="00C74C2E"/>
    <w:rsid w:val="00C80D73"/>
    <w:rsid w:val="00C902A6"/>
    <w:rsid w:val="00CA7036"/>
    <w:rsid w:val="00CB2734"/>
    <w:rsid w:val="00CC306E"/>
    <w:rsid w:val="00CD3E34"/>
    <w:rsid w:val="00CD46D8"/>
    <w:rsid w:val="00CD49E4"/>
    <w:rsid w:val="00CE0471"/>
    <w:rsid w:val="00D208C7"/>
    <w:rsid w:val="00D22AB4"/>
    <w:rsid w:val="00D23562"/>
    <w:rsid w:val="00D30F2C"/>
    <w:rsid w:val="00D32237"/>
    <w:rsid w:val="00D74734"/>
    <w:rsid w:val="00D83780"/>
    <w:rsid w:val="00DC52A6"/>
    <w:rsid w:val="00DD72DF"/>
    <w:rsid w:val="00DE7410"/>
    <w:rsid w:val="00DF749B"/>
    <w:rsid w:val="00E30972"/>
    <w:rsid w:val="00E47DE7"/>
    <w:rsid w:val="00E55608"/>
    <w:rsid w:val="00E64ECF"/>
    <w:rsid w:val="00EA162C"/>
    <w:rsid w:val="00EC34AD"/>
    <w:rsid w:val="00ED4309"/>
    <w:rsid w:val="00F36B1C"/>
    <w:rsid w:val="00F41709"/>
    <w:rsid w:val="00F4701F"/>
    <w:rsid w:val="00F53321"/>
    <w:rsid w:val="00F57A29"/>
    <w:rsid w:val="00F84020"/>
    <w:rsid w:val="00FA1D4B"/>
    <w:rsid w:val="00FA3747"/>
    <w:rsid w:val="00FC1202"/>
    <w:rsid w:val="5ED0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TW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eastAsia="zh-CN"/>
    </w:rPr>
  </w:style>
  <w:style w:type="paragraph" w:customStyle="1" w:styleId="7">
    <w:name w:val="正文1"/>
    <w:basedOn w:val="1"/>
    <w:qFormat/>
    <w:uiPriority w:val="99"/>
    <w:pPr>
      <w:widowControl/>
      <w:jc w:val="left"/>
    </w:pPr>
    <w:rPr>
      <w:rFonts w:ascii="宋体" w:hAnsi="宋体" w:cs="宋体"/>
      <w:kern w:val="0"/>
      <w:sz w:val="20"/>
      <w:szCs w:val="20"/>
      <w:lang w:eastAsia="en-US"/>
    </w:rPr>
  </w:style>
  <w:style w:type="character" w:customStyle="1" w:styleId="8">
    <w:name w:val="Header Char"/>
    <w:basedOn w:val="6"/>
    <w:link w:val="3"/>
    <w:semiHidden/>
    <w:locked/>
    <w:uiPriority w:val="99"/>
    <w:rPr>
      <w:sz w:val="18"/>
      <w:szCs w:val="18"/>
      <w:lang w:eastAsia="zh-TW"/>
    </w:rPr>
  </w:style>
  <w:style w:type="character" w:customStyle="1" w:styleId="9">
    <w:name w:val="Footer Char"/>
    <w:basedOn w:val="6"/>
    <w:link w:val="2"/>
    <w:qFormat/>
    <w:locked/>
    <w:uiPriority w:val="99"/>
    <w:rPr>
      <w:sz w:val="18"/>
      <w:szCs w:val="18"/>
      <w:lang w:eastAsia="zh-TW"/>
    </w:rPr>
  </w:style>
  <w:style w:type="paragraph" w:customStyle="1" w:styleId="10">
    <w:name w:val="Char"/>
    <w:basedOn w:val="1"/>
    <w:uiPriority w:val="99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3078</Words>
  <Characters>3141</Characters>
  <Lines>0</Lines>
  <Paragraphs>0</Paragraphs>
  <TotalTime>2</TotalTime>
  <ScaleCrop>false</ScaleCrop>
  <LinksUpToDate>false</LinksUpToDate>
  <CharactersWithSpaces>3185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2018-12-12T09:43:00Z</dcterms:created>
  <dc:creator>Administrator</dc:creator>
  <cp:lastModifiedBy>WPS_1652411081</cp:lastModifiedBy>
  <cp:lastPrinted>2018-12-12T09:43:00Z</cp:lastPrinted>
  <dcterms:modified xsi:type="dcterms:W3CDTF">2023-06-13T01:20:05Z</dcterms:modified>
  <dc:title>东安县台办2016年部门整体支出绩效评价报告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80088E5E70484B269407BFDD8E892F15_12</vt:lpwstr>
  </property>
</Properties>
</file>