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4" w:rsidRDefault="00610FD4" w:rsidP="00B2779B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610FD4" w:rsidRPr="00101DC9" w:rsidRDefault="00610FD4" w:rsidP="00663304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东安县交警大队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2018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年部门整体支出绩效评价报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   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告</w:t>
      </w:r>
    </w:p>
    <w:p w:rsidR="00610FD4" w:rsidRPr="00101DC9" w:rsidRDefault="00610FD4" w:rsidP="00663304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</w:rPr>
        <w:t xml:space="preserve"> </w:t>
      </w:r>
    </w:p>
    <w:p w:rsidR="00610FD4" w:rsidRPr="00300C93" w:rsidRDefault="00610FD4" w:rsidP="00B2779B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一、部门概况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（一）部门基本情况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、单位机构、人员情况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我单位性质为行政单位，下设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办公室、行财股、法宣股、车管所、监察室、交管股、白牙市中队、大庙口中队、端桥铺中队、芦洪市中队、石期市中队、巡逻中队，干警职工人数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69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人，其中干警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56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人，职工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13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人，协警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57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人，执法执勤车辆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16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台。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、交警大队的主要职责</w:t>
      </w:r>
    </w:p>
    <w:p w:rsidR="00610FD4" w:rsidRPr="00300C93" w:rsidRDefault="00610FD4" w:rsidP="00B2779B">
      <w:pPr>
        <w:ind w:firstLineChars="196" w:firstLine="31680"/>
        <w:rPr>
          <w:rFonts w:ascii="黑体" w:eastAsia="黑体" w:hAnsi="黑体"/>
          <w:color w:val="333333"/>
          <w:sz w:val="32"/>
          <w:szCs w:val="32"/>
        </w:rPr>
      </w:pPr>
      <w:r w:rsidRPr="00300C93">
        <w:rPr>
          <w:rFonts w:ascii="黑体" w:eastAsia="黑体" w:hAnsi="黑体" w:cs="黑体"/>
          <w:color w:val="333333"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、依法对全县道路交通实行统一管理，维护全县道路交通秩序，预防和减少交通事故。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2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、根据本县道路交通情况，适时组织各种交通安全的专项治理。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3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、具体负责全县机动车辆及驾驶员的管理业务。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4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、负责境内各种交通事故的调查、分析、责任认定、调解处理、事故统计工作，并向有关领导和部门提出本县事故预防对策。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5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、具体组织各项交通勤务，保证安全有序，畅通的道路交通环境。实施告别时期的交通管制工作。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6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、做好交通安全和交安委工作。</w:t>
      </w:r>
      <w:r w:rsidRPr="00300C93">
        <w:rPr>
          <w:rFonts w:ascii="黑体" w:eastAsia="黑体" w:hAnsi="黑体" w:cs="黑体"/>
          <w:color w:val="333333"/>
          <w:sz w:val="32"/>
          <w:szCs w:val="32"/>
        </w:rPr>
        <w:t>7</w:t>
      </w:r>
      <w:r w:rsidRPr="00300C93">
        <w:rPr>
          <w:rFonts w:ascii="黑体" w:eastAsia="黑体" w:hAnsi="黑体" w:cs="黑体" w:hint="eastAsia"/>
          <w:color w:val="333333"/>
          <w:sz w:val="32"/>
          <w:szCs w:val="32"/>
        </w:rPr>
        <w:t>、做好上级领导机关交办的其他工作任务。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</w:p>
    <w:p w:rsidR="00610FD4" w:rsidRPr="00300C93" w:rsidRDefault="00610FD4" w:rsidP="00B2779B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（二）部门整体支出规模、使用方向和主要内容、涉及范围</w:t>
      </w:r>
    </w:p>
    <w:p w:rsidR="00610FD4" w:rsidRPr="00300C93" w:rsidRDefault="00610FD4" w:rsidP="00B2779B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年预算支出规模</w:t>
      </w:r>
    </w:p>
    <w:p w:rsidR="00610FD4" w:rsidRPr="00300C93" w:rsidRDefault="00610FD4" w:rsidP="00B2779B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300C93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）预算资金情况</w:t>
      </w:r>
    </w:p>
    <w:p w:rsidR="00610FD4" w:rsidRPr="00F562E0" w:rsidRDefault="00610FD4" w:rsidP="00B2779B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2018</w:t>
      </w:r>
      <w:r w:rsidRPr="00F562E0">
        <w:rPr>
          <w:rFonts w:ascii="黑体" w:eastAsia="黑体" w:hAnsi="黑体" w:cs="黑体" w:hint="eastAsia"/>
          <w:sz w:val="30"/>
          <w:szCs w:val="30"/>
        </w:rPr>
        <w:t>年收入决算</w:t>
      </w:r>
      <w:r w:rsidRPr="00F562E0"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1740.9308</w:t>
      </w:r>
      <w:r w:rsidRPr="00F562E0">
        <w:rPr>
          <w:rFonts w:ascii="黑体" w:eastAsia="黑体" w:hAnsi="黑体" w:cs="黑体" w:hint="eastAsia"/>
          <w:sz w:val="30"/>
          <w:szCs w:val="30"/>
        </w:rPr>
        <w:t>万元，其中财政拨款收入</w:t>
      </w:r>
      <w:r>
        <w:rPr>
          <w:rFonts w:ascii="黑体" w:eastAsia="黑体" w:hAnsi="黑体" w:cs="黑体"/>
          <w:sz w:val="30"/>
          <w:szCs w:val="30"/>
        </w:rPr>
        <w:t>1740.9308</w:t>
      </w:r>
      <w:r w:rsidRPr="00F562E0">
        <w:rPr>
          <w:rFonts w:ascii="黑体" w:eastAsia="黑体" w:hAnsi="黑体" w:cs="黑体"/>
          <w:sz w:val="30"/>
          <w:szCs w:val="30"/>
        </w:rPr>
        <w:t xml:space="preserve"> </w:t>
      </w:r>
      <w:r w:rsidRPr="00F562E0">
        <w:rPr>
          <w:rFonts w:ascii="黑体" w:eastAsia="黑体" w:hAnsi="黑体" w:cs="黑体" w:hint="eastAsia"/>
          <w:sz w:val="30"/>
          <w:szCs w:val="30"/>
        </w:rPr>
        <w:t>万元，其他收入</w:t>
      </w:r>
      <w:r w:rsidRPr="00F562E0">
        <w:rPr>
          <w:rFonts w:ascii="黑体" w:eastAsia="黑体" w:hAnsi="黑体" w:cs="黑体"/>
          <w:sz w:val="30"/>
          <w:szCs w:val="30"/>
        </w:rPr>
        <w:t xml:space="preserve"> </w:t>
      </w:r>
      <w:r w:rsidRPr="00F562E0">
        <w:rPr>
          <w:rFonts w:ascii="黑体" w:eastAsia="黑体" w:hAnsi="黑体" w:cs="黑体" w:hint="eastAsia"/>
          <w:sz w:val="30"/>
          <w:szCs w:val="30"/>
        </w:rPr>
        <w:t>元。比上年增加</w:t>
      </w:r>
      <w:r>
        <w:rPr>
          <w:rFonts w:ascii="黑体" w:eastAsia="黑体" w:hAnsi="黑体" w:cs="黑体"/>
          <w:sz w:val="30"/>
          <w:szCs w:val="30"/>
        </w:rPr>
        <w:t>593</w:t>
      </w:r>
      <w:r w:rsidRPr="00F562E0">
        <w:rPr>
          <w:rFonts w:ascii="黑体" w:eastAsia="黑体" w:hAnsi="黑体" w:cs="黑体" w:hint="eastAsia"/>
          <w:sz w:val="30"/>
          <w:szCs w:val="30"/>
        </w:rPr>
        <w:t>万元，变动原因为财政增加单位公用经费</w:t>
      </w:r>
      <w:r>
        <w:rPr>
          <w:rFonts w:ascii="黑体" w:eastAsia="黑体" w:hAnsi="黑体" w:cs="黑体"/>
          <w:sz w:val="30"/>
          <w:szCs w:val="30"/>
        </w:rPr>
        <w:t>593</w:t>
      </w:r>
      <w:r w:rsidRPr="00F562E0">
        <w:rPr>
          <w:rFonts w:ascii="黑体" w:eastAsia="黑体" w:hAnsi="黑体" w:cs="黑体" w:hint="eastAsia"/>
          <w:sz w:val="30"/>
          <w:szCs w:val="30"/>
        </w:rPr>
        <w:t>万元，。</w:t>
      </w:r>
    </w:p>
    <w:p w:rsidR="00610FD4" w:rsidRPr="00206D09" w:rsidRDefault="00610FD4" w:rsidP="00B2779B">
      <w:pPr>
        <w:ind w:firstLineChars="196" w:firstLine="31680"/>
        <w:rPr>
          <w:rFonts w:ascii="仿宋" w:eastAsia="仿宋" w:hAnsi="仿宋"/>
          <w:b/>
          <w:bCs/>
          <w:sz w:val="32"/>
          <w:szCs w:val="32"/>
        </w:rPr>
      </w:pPr>
      <w:r w:rsidRPr="00206D09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Pr="00566D1C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</w:rPr>
        <w:t>整体支出使用范围、方向和内容</w:t>
      </w:r>
    </w:p>
    <w:p w:rsidR="00610FD4" w:rsidRPr="00300C93" w:rsidRDefault="00610FD4" w:rsidP="00B2779B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年财政拨款支出按用途划，基本支出</w:t>
      </w:r>
      <w:r>
        <w:rPr>
          <w:rFonts w:ascii="黑体" w:eastAsia="黑体" w:hAnsi="黑体" w:cs="黑体"/>
          <w:sz w:val="32"/>
          <w:szCs w:val="32"/>
        </w:rPr>
        <w:t>1473.9308</w:t>
      </w:r>
      <w:r w:rsidRPr="00300C93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>
        <w:rPr>
          <w:rFonts w:ascii="黑体" w:eastAsia="黑体" w:hAnsi="黑体" w:cs="黑体"/>
          <w:sz w:val="32"/>
          <w:szCs w:val="32"/>
        </w:rPr>
        <w:t>721.7798</w:t>
      </w:r>
      <w:r w:rsidRPr="00300C93">
        <w:rPr>
          <w:rFonts w:ascii="黑体" w:eastAsia="黑体" w:hAnsi="黑体" w:cs="黑体" w:hint="eastAsia"/>
          <w:sz w:val="32"/>
          <w:szCs w:val="32"/>
        </w:rPr>
        <w:t>万元，日常公用经费支出：</w:t>
      </w:r>
      <w:r>
        <w:rPr>
          <w:rFonts w:ascii="黑体" w:eastAsia="黑体" w:hAnsi="黑体" w:cs="黑体"/>
          <w:sz w:val="32"/>
          <w:szCs w:val="32"/>
        </w:rPr>
        <w:t>752.151</w:t>
      </w:r>
      <w:r w:rsidRPr="00300C93">
        <w:rPr>
          <w:rFonts w:ascii="黑体" w:eastAsia="黑体" w:hAnsi="黑体" w:cs="黑体" w:hint="eastAsia"/>
          <w:sz w:val="32"/>
          <w:szCs w:val="32"/>
        </w:rPr>
        <w:t>万元，项目支出为</w:t>
      </w:r>
      <w:r>
        <w:rPr>
          <w:rFonts w:ascii="黑体" w:eastAsia="黑体" w:hAnsi="黑体" w:cs="黑体"/>
          <w:sz w:val="32"/>
          <w:szCs w:val="32"/>
        </w:rPr>
        <w:t>267</w:t>
      </w:r>
      <w:r w:rsidRPr="00300C93">
        <w:rPr>
          <w:rFonts w:ascii="黑体" w:eastAsia="黑体" w:hAnsi="黑体" w:cs="黑体" w:hint="eastAsia"/>
          <w:sz w:val="32"/>
          <w:szCs w:val="32"/>
        </w:rPr>
        <w:t>万元。</w:t>
      </w:r>
    </w:p>
    <w:p w:rsidR="00610FD4" w:rsidRPr="00300C93" w:rsidRDefault="00610FD4" w:rsidP="00B2779B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b/>
          <w:bCs/>
          <w:sz w:val="32"/>
          <w:szCs w:val="32"/>
        </w:rPr>
        <w:t>年年度预算收支决算情况</w:t>
      </w:r>
    </w:p>
    <w:p w:rsidR="00610FD4" w:rsidRPr="00300C93" w:rsidRDefault="00610FD4" w:rsidP="00B2779B">
      <w:pPr>
        <w:ind w:leftChars="76" w:left="31680" w:firstLineChars="20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0"/>
          <w:szCs w:val="30"/>
        </w:rPr>
        <w:t>1740.9308</w:t>
      </w:r>
      <w:r w:rsidRPr="00300C93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0"/>
          <w:szCs w:val="30"/>
        </w:rPr>
        <w:t>1740.9308</w:t>
      </w:r>
      <w:r w:rsidRPr="00300C93">
        <w:rPr>
          <w:rFonts w:ascii="黑体" w:eastAsia="黑体" w:hAnsi="黑体" w:cs="黑体" w:hint="eastAsia"/>
          <w:sz w:val="32"/>
          <w:szCs w:val="32"/>
        </w:rPr>
        <w:t>万元，其中：人员经费增加</w:t>
      </w:r>
      <w:r>
        <w:rPr>
          <w:rFonts w:ascii="黑体" w:eastAsia="黑体" w:hAnsi="黑体" w:cs="黑体"/>
          <w:sz w:val="32"/>
          <w:szCs w:val="32"/>
        </w:rPr>
        <w:t>233</w:t>
      </w:r>
      <w:r w:rsidRPr="00300C93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32</w:t>
      </w:r>
      <w:r w:rsidRPr="00300C93">
        <w:rPr>
          <w:rFonts w:ascii="黑体" w:eastAsia="黑体" w:hAnsi="黑体" w:cs="黑体"/>
          <w:sz w:val="32"/>
          <w:szCs w:val="32"/>
        </w:rPr>
        <w:t>%</w:t>
      </w:r>
      <w:r w:rsidRPr="00300C93">
        <w:rPr>
          <w:rFonts w:ascii="黑体" w:eastAsia="黑体" w:hAnsi="黑体" w:cs="黑体" w:hint="eastAsia"/>
          <w:sz w:val="32"/>
          <w:szCs w:val="32"/>
        </w:rPr>
        <w:t>，主要原因</w:t>
      </w:r>
      <w:r w:rsidRPr="00300C93">
        <w:rPr>
          <w:rFonts w:ascii="黑体" w:eastAsia="黑体" w:hAnsi="黑体" w:cs="黑体"/>
          <w:sz w:val="32"/>
          <w:szCs w:val="32"/>
        </w:rPr>
        <w:t>:</w:t>
      </w:r>
      <w:r w:rsidRPr="00300C93">
        <w:rPr>
          <w:rFonts w:ascii="黑体" w:eastAsia="黑体" w:hAnsi="黑体" w:cs="黑体" w:hint="eastAsia"/>
          <w:sz w:val="32"/>
          <w:szCs w:val="32"/>
        </w:rPr>
        <w:t>根据财政要求人员正常增资，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年人员增加工资，调整津补贴。而日常办公经费增加</w:t>
      </w:r>
      <w:r>
        <w:rPr>
          <w:rFonts w:ascii="黑体" w:eastAsia="黑体" w:hAnsi="黑体" w:cs="黑体"/>
          <w:sz w:val="32"/>
          <w:szCs w:val="32"/>
        </w:rPr>
        <w:t>345</w:t>
      </w:r>
      <w:r w:rsidRPr="00300C93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40</w:t>
      </w:r>
      <w:r w:rsidRPr="00300C93">
        <w:rPr>
          <w:rFonts w:ascii="黑体" w:eastAsia="黑体" w:hAnsi="黑体" w:cs="黑体"/>
          <w:sz w:val="32"/>
          <w:szCs w:val="32"/>
        </w:rPr>
        <w:t>%</w:t>
      </w:r>
      <w:r w:rsidRPr="00300C93">
        <w:rPr>
          <w:rFonts w:ascii="黑体" w:eastAsia="黑体" w:hAnsi="黑体" w:cs="黑体" w:hint="eastAsia"/>
          <w:sz w:val="32"/>
          <w:szCs w:val="32"/>
        </w:rPr>
        <w:t>，主要原因：办案业务费增加。</w:t>
      </w:r>
    </w:p>
    <w:p w:rsidR="00610FD4" w:rsidRPr="00300C93" w:rsidRDefault="00610FD4" w:rsidP="00B2779B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二、整体支出使用管理情况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（一）基本支出使用管理情况</w:t>
      </w:r>
    </w:p>
    <w:p w:rsidR="00610FD4" w:rsidRPr="00300C93" w:rsidRDefault="00610FD4" w:rsidP="00663304">
      <w:pPr>
        <w:spacing w:line="600" w:lineRule="atLeast"/>
        <w:ind w:firstLine="640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基本支出的范围和主要用途包括人员经费和日常公用经费。</w:t>
      </w:r>
    </w:p>
    <w:p w:rsidR="00610FD4" w:rsidRPr="001B5F99" w:rsidRDefault="00610FD4" w:rsidP="00663304">
      <w:pPr>
        <w:spacing w:line="600" w:lineRule="atLeast"/>
        <w:ind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基本支出的管理和使用情况如下：工资福利支出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721.7798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752.151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万元，主要用于本单位的公务用车、公务接待，办公用品的购买，单位缴纳住房公积金、医保、社保和其他日常办公的正常开支。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1740.9308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610FD4" w:rsidRPr="00300C93" w:rsidRDefault="00610FD4" w:rsidP="00B2779B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（二）“三公”经费使用管理执行情况</w:t>
      </w:r>
    </w:p>
    <w:p w:rsidR="00610FD4" w:rsidRPr="00300C93" w:rsidRDefault="00610FD4" w:rsidP="00B2779B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107</w:t>
      </w:r>
      <w:r w:rsidRPr="00300C93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107</w:t>
      </w:r>
      <w:r w:rsidRPr="00300C93">
        <w:rPr>
          <w:rFonts w:ascii="黑体" w:eastAsia="黑体" w:hAnsi="黑体" w:cs="黑体" w:hint="eastAsia"/>
          <w:sz w:val="32"/>
          <w:szCs w:val="32"/>
        </w:rPr>
        <w:t>万元，与去年同比基本持平，具体情况如下：</w:t>
      </w:r>
    </w:p>
    <w:p w:rsidR="00610FD4" w:rsidRPr="00300C93" w:rsidRDefault="00610FD4" w:rsidP="00B2779B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300C93">
        <w:rPr>
          <w:rFonts w:ascii="黑体" w:eastAsia="黑体" w:hAnsi="黑体" w:cs="黑体" w:hint="eastAsia"/>
          <w:sz w:val="32"/>
          <w:szCs w:val="32"/>
        </w:rPr>
        <w:t>（</w:t>
      </w:r>
      <w:r w:rsidRPr="00300C93">
        <w:rPr>
          <w:rFonts w:ascii="黑体" w:eastAsia="黑体" w:hAnsi="黑体" w:cs="黑体"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sz w:val="32"/>
          <w:szCs w:val="32"/>
        </w:rPr>
        <w:t>）因公出国（境）费无支出；</w:t>
      </w:r>
    </w:p>
    <w:p w:rsidR="00610FD4" w:rsidRPr="00300C93" w:rsidRDefault="00610FD4" w:rsidP="00B2779B">
      <w:pPr>
        <w:snapToGrid w:val="0"/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300C93">
        <w:rPr>
          <w:rFonts w:ascii="黑体" w:eastAsia="黑体" w:hAnsi="黑体" w:cs="黑体" w:hint="eastAsia"/>
          <w:sz w:val="32"/>
          <w:szCs w:val="32"/>
        </w:rPr>
        <w:t>（</w:t>
      </w:r>
      <w:r w:rsidRPr="00300C93">
        <w:rPr>
          <w:rFonts w:ascii="黑体" w:eastAsia="黑体" w:hAnsi="黑体" w:cs="黑体"/>
          <w:sz w:val="32"/>
          <w:szCs w:val="32"/>
        </w:rPr>
        <w:t>2</w:t>
      </w:r>
      <w:r w:rsidRPr="00300C93">
        <w:rPr>
          <w:rFonts w:ascii="黑体" w:eastAsia="黑体" w:hAnsi="黑体" w:cs="黑体" w:hint="eastAsia"/>
          <w:sz w:val="32"/>
          <w:szCs w:val="32"/>
        </w:rPr>
        <w:t>）公务用车购置及运行维护费支出</w:t>
      </w:r>
      <w:r>
        <w:rPr>
          <w:rFonts w:ascii="黑体" w:eastAsia="黑体" w:hAnsi="黑体" w:cs="黑体"/>
          <w:sz w:val="32"/>
          <w:szCs w:val="32"/>
        </w:rPr>
        <w:t>80</w:t>
      </w:r>
      <w:r w:rsidRPr="00300C93">
        <w:rPr>
          <w:rFonts w:ascii="黑体" w:eastAsia="黑体" w:hAnsi="黑体" w:cs="黑体" w:hint="eastAsia"/>
          <w:sz w:val="32"/>
          <w:szCs w:val="32"/>
        </w:rPr>
        <w:t>万元，具体是：公务车保有量</w:t>
      </w:r>
      <w:r>
        <w:rPr>
          <w:rFonts w:ascii="黑体" w:eastAsia="黑体" w:hAnsi="黑体" w:cs="黑体"/>
          <w:sz w:val="32"/>
          <w:szCs w:val="32"/>
        </w:rPr>
        <w:t>16</w:t>
      </w:r>
      <w:r w:rsidRPr="00300C93">
        <w:rPr>
          <w:rFonts w:ascii="黑体" w:eastAsia="黑体" w:hAnsi="黑体" w:cs="黑体"/>
          <w:sz w:val="32"/>
          <w:szCs w:val="32"/>
        </w:rPr>
        <w:t xml:space="preserve"> </w:t>
      </w:r>
      <w:r w:rsidRPr="00300C93">
        <w:rPr>
          <w:rFonts w:ascii="黑体" w:eastAsia="黑体" w:hAnsi="黑体" w:cs="黑体" w:hint="eastAsia"/>
          <w:sz w:val="32"/>
          <w:szCs w:val="32"/>
        </w:rPr>
        <w:t>台，全年维护运行费支出</w:t>
      </w:r>
      <w:r>
        <w:rPr>
          <w:rFonts w:ascii="黑体" w:eastAsia="黑体" w:hAnsi="黑体" w:cs="黑体"/>
          <w:sz w:val="32"/>
          <w:szCs w:val="32"/>
        </w:rPr>
        <w:t>80</w:t>
      </w:r>
      <w:r w:rsidRPr="00300C93">
        <w:rPr>
          <w:rFonts w:ascii="黑体" w:eastAsia="黑体" w:hAnsi="黑体" w:cs="黑体"/>
          <w:sz w:val="32"/>
          <w:szCs w:val="32"/>
        </w:rPr>
        <w:t xml:space="preserve"> </w:t>
      </w:r>
      <w:r w:rsidRPr="00300C93">
        <w:rPr>
          <w:rFonts w:ascii="黑体" w:eastAsia="黑体" w:hAnsi="黑体" w:cs="黑体" w:hint="eastAsia"/>
          <w:sz w:val="32"/>
          <w:szCs w:val="32"/>
        </w:rPr>
        <w:t>万元。</w:t>
      </w:r>
    </w:p>
    <w:p w:rsidR="00610FD4" w:rsidRPr="00300C93" w:rsidRDefault="00610FD4" w:rsidP="00B2779B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  <w:r w:rsidRPr="00300C93">
        <w:rPr>
          <w:rFonts w:ascii="黑体" w:eastAsia="黑体" w:hAnsi="黑体" w:cs="黑体" w:hint="eastAsia"/>
          <w:sz w:val="32"/>
          <w:szCs w:val="32"/>
        </w:rPr>
        <w:t>（</w:t>
      </w:r>
      <w:r w:rsidRPr="00300C93">
        <w:rPr>
          <w:rFonts w:ascii="黑体" w:eastAsia="黑体" w:hAnsi="黑体" w:cs="黑体"/>
          <w:sz w:val="32"/>
          <w:szCs w:val="32"/>
        </w:rPr>
        <w:t>3</w:t>
      </w:r>
      <w:r w:rsidRPr="00300C93">
        <w:rPr>
          <w:rFonts w:ascii="黑体" w:eastAsia="黑体" w:hAnsi="黑体" w:cs="黑体" w:hint="eastAsia"/>
          <w:sz w:val="32"/>
          <w:szCs w:val="32"/>
        </w:rPr>
        <w:t>）公务接待费支出</w:t>
      </w:r>
      <w:r>
        <w:rPr>
          <w:rFonts w:ascii="黑体" w:eastAsia="黑体" w:hAnsi="黑体" w:cs="黑体"/>
          <w:sz w:val="32"/>
          <w:szCs w:val="32"/>
        </w:rPr>
        <w:t>27</w:t>
      </w:r>
      <w:r w:rsidRPr="00300C93">
        <w:rPr>
          <w:rFonts w:ascii="黑体" w:eastAsia="黑体" w:hAnsi="黑体" w:cs="黑体" w:hint="eastAsia"/>
          <w:sz w:val="32"/>
          <w:szCs w:val="32"/>
        </w:rPr>
        <w:t>万元，同比基本持平，主要用于接待上级部门检查和调研及会议接待，以及单位食堂伙食补助费。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三、部门整体支出管理情况</w:t>
      </w:r>
    </w:p>
    <w:p w:rsidR="00610FD4" w:rsidRPr="00300C93" w:rsidRDefault="00610FD4" w:rsidP="00663304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我们严格预算管理，切实按照县委出台的五项管理制度要求，</w:t>
      </w:r>
      <w:r w:rsidRPr="00300C93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坚持执行财经和财务制度，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 w:rsidR="00610FD4" w:rsidRPr="00300C93" w:rsidRDefault="00610FD4" w:rsidP="00B2779B">
      <w:pPr>
        <w:ind w:leftChars="76" w:left="31680" w:firstLineChars="205" w:firstLine="31680"/>
        <w:rPr>
          <w:rFonts w:ascii="黑体" w:eastAsia="黑体" w:hAnsi="黑体"/>
          <w:sz w:val="32"/>
          <w:szCs w:val="32"/>
        </w:rPr>
      </w:pP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1740.9308</w:t>
      </w:r>
      <w:r w:rsidRPr="00300C93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1740.9308</w:t>
      </w:r>
      <w:r w:rsidRPr="00300C93">
        <w:rPr>
          <w:rFonts w:ascii="黑体" w:eastAsia="黑体" w:hAnsi="黑体" w:cs="黑体" w:hint="eastAsia"/>
          <w:sz w:val="32"/>
          <w:szCs w:val="32"/>
        </w:rPr>
        <w:t>万元，其中，人员经费增加</w:t>
      </w:r>
      <w:r w:rsidRPr="00300C93">
        <w:rPr>
          <w:rFonts w:ascii="黑体" w:eastAsia="黑体" w:hAnsi="黑体" w:cs="黑体"/>
          <w:sz w:val="32"/>
          <w:szCs w:val="32"/>
        </w:rPr>
        <w:t>40</w:t>
      </w:r>
      <w:r w:rsidRPr="00300C93">
        <w:rPr>
          <w:rFonts w:ascii="黑体" w:eastAsia="黑体" w:hAnsi="黑体" w:cs="黑体" w:hint="eastAsia"/>
          <w:sz w:val="32"/>
          <w:szCs w:val="32"/>
        </w:rPr>
        <w:t>万元，同比增加</w:t>
      </w:r>
      <w:r>
        <w:rPr>
          <w:rFonts w:ascii="黑体" w:eastAsia="黑体" w:hAnsi="黑体" w:cs="黑体"/>
          <w:sz w:val="32"/>
          <w:szCs w:val="32"/>
        </w:rPr>
        <w:t>32</w:t>
      </w:r>
      <w:r w:rsidRPr="00300C93">
        <w:rPr>
          <w:rFonts w:ascii="黑体" w:eastAsia="黑体" w:hAnsi="黑体" w:cs="黑体"/>
          <w:sz w:val="32"/>
          <w:szCs w:val="32"/>
        </w:rPr>
        <w:t>%</w:t>
      </w:r>
      <w:r w:rsidRPr="00300C93">
        <w:rPr>
          <w:rFonts w:ascii="黑体" w:eastAsia="黑体" w:hAnsi="黑体" w:cs="黑体" w:hint="eastAsia"/>
          <w:sz w:val="32"/>
          <w:szCs w:val="32"/>
        </w:rPr>
        <w:t>，主要原因根据财政要求人员正常增资，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年人员增加工资，调整津补贴。而日常办公经费增加</w:t>
      </w:r>
      <w:r>
        <w:rPr>
          <w:rFonts w:ascii="黑体" w:eastAsia="黑体" w:hAnsi="黑体" w:cs="黑体"/>
          <w:sz w:val="32"/>
          <w:szCs w:val="32"/>
        </w:rPr>
        <w:t>345</w:t>
      </w:r>
      <w:r w:rsidRPr="00300C93">
        <w:rPr>
          <w:rFonts w:ascii="黑体" w:eastAsia="黑体" w:hAnsi="黑体" w:cs="黑体" w:hint="eastAsia"/>
          <w:sz w:val="32"/>
          <w:szCs w:val="32"/>
        </w:rPr>
        <w:t>万元，同增加</w:t>
      </w:r>
      <w:r>
        <w:rPr>
          <w:rFonts w:ascii="黑体" w:eastAsia="黑体" w:hAnsi="黑体" w:cs="黑体"/>
          <w:sz w:val="32"/>
          <w:szCs w:val="32"/>
        </w:rPr>
        <w:t>45</w:t>
      </w:r>
      <w:r w:rsidRPr="00300C93">
        <w:rPr>
          <w:rFonts w:ascii="黑体" w:eastAsia="黑体" w:hAnsi="黑体" w:cs="黑体"/>
          <w:sz w:val="32"/>
          <w:szCs w:val="32"/>
        </w:rPr>
        <w:t>%</w:t>
      </w:r>
      <w:r w:rsidRPr="00300C93">
        <w:rPr>
          <w:rFonts w:ascii="黑体" w:eastAsia="黑体" w:hAnsi="黑体" w:cs="黑体" w:hint="eastAsia"/>
          <w:sz w:val="32"/>
          <w:szCs w:val="32"/>
        </w:rPr>
        <w:t>，主要原因办案业务费增加。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四、部门整体支出绩效情况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年度部门整体支出状况的概述和分析，</w:t>
      </w: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部门整体支出绩效情况如下：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（一）经济效益评价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本年预算配置控制较好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。</w:t>
      </w:r>
      <w:r w:rsidRPr="00300C93">
        <w:rPr>
          <w:rFonts w:ascii="黑体" w:eastAsia="黑体" w:hAnsi="黑体" w:cs="黑体" w:hint="eastAsia"/>
          <w:color w:val="000000"/>
          <w:sz w:val="32"/>
          <w:szCs w:val="32"/>
        </w:rPr>
        <w:t>财政供养人员控制在预算编制以内，编制内在职人员控制率≦</w:t>
      </w:r>
      <w:r w:rsidRPr="00300C93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300C93">
        <w:rPr>
          <w:rFonts w:ascii="黑体" w:eastAsia="黑体" w:hAnsi="黑体" w:cs="黑体" w:hint="eastAsia"/>
          <w:color w:val="000000"/>
          <w:sz w:val="32"/>
          <w:szCs w:val="32"/>
        </w:rPr>
        <w:t>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预算执行控制较好。</w:t>
      </w:r>
      <w:r w:rsidRPr="00300C93">
        <w:rPr>
          <w:rFonts w:ascii="黑体" w:eastAsia="黑体" w:hAnsi="黑体" w:cs="黑体" w:hint="eastAsia"/>
          <w:color w:val="000000"/>
          <w:sz w:val="32"/>
          <w:szCs w:val="32"/>
        </w:rPr>
        <w:t>支出总额控制在预算总额以内，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本年部门预算未进行预算相关事项的调整；</w:t>
      </w:r>
      <w:r w:rsidRPr="00300C93">
        <w:rPr>
          <w:rFonts w:ascii="黑体" w:eastAsia="黑体" w:hAnsi="黑体" w:cs="黑体" w:hint="eastAsia"/>
          <w:color w:val="000000"/>
          <w:sz w:val="32"/>
          <w:szCs w:val="32"/>
        </w:rPr>
        <w:t>预算完成率达到</w:t>
      </w:r>
      <w:r w:rsidRPr="00300C93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300C93">
        <w:rPr>
          <w:rFonts w:ascii="黑体" w:eastAsia="黑体" w:hAnsi="黑体" w:cs="黑体" w:hint="eastAsia"/>
          <w:color w:val="000000"/>
          <w:sz w:val="32"/>
          <w:szCs w:val="32"/>
        </w:rPr>
        <w:t>，预算控制较好，全年无截留或滞留专项资金情况；全年没有新建楼堂馆所。</w:t>
      </w:r>
    </w:p>
    <w:p w:rsidR="00610FD4" w:rsidRPr="00300C93" w:rsidRDefault="00610FD4" w:rsidP="00663304">
      <w:pPr>
        <w:widowControl/>
        <w:spacing w:line="600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 w:rsidRPr="00300C93"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 xml:space="preserve">3. </w:t>
      </w:r>
      <w:r w:rsidRPr="00300C93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预算管理较为理想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。制度执行总体较为有效，但仍需进一步强化。全年公用经费控制率为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；“三公”经费总体控制较好，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107</w:t>
      </w:r>
      <w:r w:rsidRPr="00300C93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107</w:t>
      </w:r>
      <w:r w:rsidRPr="00300C93">
        <w:rPr>
          <w:rFonts w:ascii="黑体" w:eastAsia="黑体" w:hAnsi="黑体" w:cs="黑体" w:hint="eastAsia"/>
          <w:sz w:val="32"/>
          <w:szCs w:val="32"/>
        </w:rPr>
        <w:t>万元，控制在预算之内，与去年持平。</w:t>
      </w:r>
    </w:p>
    <w:p w:rsidR="00610FD4" w:rsidRPr="00300C93" w:rsidRDefault="00610FD4" w:rsidP="00663304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18"/>
          <w:szCs w:val="18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）对于单位的政府采购项目，凡单位购买属于政府采购范围内的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货物、工程和服务，严格遵守政府采购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相关法律法规的规定办理相关审批手续，政府采购执行率达到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610FD4" w:rsidRPr="00300C93" w:rsidRDefault="00610FD4" w:rsidP="00663304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18"/>
          <w:szCs w:val="18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300C93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。</w:t>
      </w:r>
    </w:p>
    <w:p w:rsidR="00610FD4" w:rsidRPr="00300C93" w:rsidRDefault="00610FD4" w:rsidP="00B2779B">
      <w:pPr>
        <w:widowControl/>
        <w:spacing w:line="600" w:lineRule="atLeas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610FD4" w:rsidRPr="00300C93" w:rsidRDefault="00610FD4" w:rsidP="00663304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）部门预算收支严格按年初部门预算方案执行，部门预决算、“三公”经费预决算按要求及时进行了公开。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（二）效率性评价和有效性评价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（三）社会公众满意度评价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，全体干部职工在县委、县政府的正确领导下，克服人手短缺、经验不足等种种困难，积极做好本单位财务管理工作，保证了财政资金的安全，获得了县财政局预算股和国库股的一致好评。在财政局组织的本级预算单位财务管理综合考核工作中，我单位财务管理工作被评为先进单位。在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年民主测评中，满意度为</w:t>
      </w:r>
      <w:r w:rsidRPr="00300C93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300C9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w w:val="90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五、</w:t>
      </w:r>
      <w:r w:rsidRPr="00300C93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结合《部门整体支出绩效议价指标表》（见附表）的评价结果。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六、存在的主要问题。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、会计专业人员急需，办公费支出有所超支，预算编制的合理性有待提高。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七、改正愿措施和有关建议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针对上述存在的问题及整体支出管理工作的需要，拟实施的改进措施如下：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细化预算编制工作，认真做好预算的编制。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加强财务管理，严格财务审核。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3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．持续抓好“三公”经费控制管理。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4</w:t>
      </w:r>
      <w:r w:rsidRPr="00300C93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．加强项目开展进度的跟踪，开展项目绩效评价，确保项目绩效目标的完成。</w:t>
      </w:r>
    </w:p>
    <w:p w:rsidR="00610FD4" w:rsidRPr="00300C93" w:rsidRDefault="00610FD4" w:rsidP="0066330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                       </w:t>
      </w:r>
    </w:p>
    <w:p w:rsidR="00610FD4" w:rsidRPr="00300C93" w:rsidRDefault="00610FD4" w:rsidP="00B2779B">
      <w:pPr>
        <w:widowControl/>
        <w:shd w:val="clear" w:color="auto" w:fill="FFFFFF"/>
        <w:autoSpaceDE w:val="0"/>
        <w:spacing w:line="600" w:lineRule="exact"/>
        <w:ind w:right="640" w:firstLineChars="1300" w:firstLine="31680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东安县</w:t>
      </w:r>
      <w:r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公安局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交警大队</w:t>
      </w:r>
    </w:p>
    <w:p w:rsidR="00610FD4" w:rsidRPr="00300C93" w:rsidRDefault="00610FD4" w:rsidP="00663304">
      <w:pPr>
        <w:shd w:val="clear" w:color="auto" w:fill="FFFFFF"/>
        <w:autoSpaceDE w:val="0"/>
        <w:spacing w:line="600" w:lineRule="exact"/>
        <w:jc w:val="center"/>
        <w:rPr>
          <w:rFonts w:ascii="黑体" w:eastAsia="黑体" w:hAnsi="黑体"/>
          <w:color w:val="666666"/>
          <w:kern w:val="0"/>
          <w:sz w:val="24"/>
          <w:szCs w:val="24"/>
        </w:rPr>
      </w:pP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2018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</w:t>
      </w: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11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月</w:t>
      </w: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</w:t>
      </w:r>
      <w:r w:rsidRPr="00300C93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日</w:t>
      </w:r>
      <w:r w:rsidRPr="00300C93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</w:p>
    <w:p w:rsidR="00610FD4" w:rsidRPr="00FC40A8" w:rsidRDefault="00610FD4" w:rsidP="00B2779B">
      <w:pPr>
        <w:spacing w:line="600" w:lineRule="exact"/>
        <w:ind w:firstLineChars="200" w:firstLine="3168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610FD4" w:rsidRPr="00FC40A8" w:rsidRDefault="00610FD4" w:rsidP="00B2779B">
      <w:pPr>
        <w:spacing w:line="600" w:lineRule="exact"/>
        <w:ind w:firstLineChars="200" w:firstLine="3168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610FD4" w:rsidRPr="00663304" w:rsidRDefault="00610FD4" w:rsidP="002D2AA0">
      <w:pPr>
        <w:adjustRightInd w:val="0"/>
        <w:snapToGrid w:val="0"/>
        <w:spacing w:line="60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</w:p>
    <w:sectPr w:rsidR="00610FD4" w:rsidRPr="00663304" w:rsidSect="00D70D98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37B95"/>
    <w:rsid w:val="00101DC9"/>
    <w:rsid w:val="00103E8B"/>
    <w:rsid w:val="00151FB2"/>
    <w:rsid w:val="0017128D"/>
    <w:rsid w:val="001B5F99"/>
    <w:rsid w:val="001C5A1B"/>
    <w:rsid w:val="00206D09"/>
    <w:rsid w:val="00214A26"/>
    <w:rsid w:val="00273308"/>
    <w:rsid w:val="00296CCE"/>
    <w:rsid w:val="002A087C"/>
    <w:rsid w:val="002D2AA0"/>
    <w:rsid w:val="00300C93"/>
    <w:rsid w:val="00491393"/>
    <w:rsid w:val="004A139B"/>
    <w:rsid w:val="00566D1C"/>
    <w:rsid w:val="005A30F2"/>
    <w:rsid w:val="005B2827"/>
    <w:rsid w:val="00610FD4"/>
    <w:rsid w:val="006117C5"/>
    <w:rsid w:val="0061728F"/>
    <w:rsid w:val="00663304"/>
    <w:rsid w:val="0073431B"/>
    <w:rsid w:val="00762D52"/>
    <w:rsid w:val="00783181"/>
    <w:rsid w:val="00836368"/>
    <w:rsid w:val="00877BA1"/>
    <w:rsid w:val="00A76448"/>
    <w:rsid w:val="00B2779B"/>
    <w:rsid w:val="00B30C5E"/>
    <w:rsid w:val="00B74A87"/>
    <w:rsid w:val="00C25252"/>
    <w:rsid w:val="00C36415"/>
    <w:rsid w:val="00CE0BD6"/>
    <w:rsid w:val="00D116AF"/>
    <w:rsid w:val="00D1790A"/>
    <w:rsid w:val="00D70D98"/>
    <w:rsid w:val="00D90AB0"/>
    <w:rsid w:val="00DF468F"/>
    <w:rsid w:val="00DF5AEA"/>
    <w:rsid w:val="00E023F5"/>
    <w:rsid w:val="00E641CA"/>
    <w:rsid w:val="00E96CA1"/>
    <w:rsid w:val="00EA1F7D"/>
    <w:rsid w:val="00F16E04"/>
    <w:rsid w:val="00F562E0"/>
    <w:rsid w:val="00F94903"/>
    <w:rsid w:val="00FC40A8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9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0D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0D9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D98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7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0D98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70D98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D70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520</Words>
  <Characters>2965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戴尔</cp:lastModifiedBy>
  <cp:revision>9</cp:revision>
  <cp:lastPrinted>2013-10-09T02:05:00Z</cp:lastPrinted>
  <dcterms:created xsi:type="dcterms:W3CDTF">2015-08-13T01:19:00Z</dcterms:created>
  <dcterms:modified xsi:type="dcterms:W3CDTF">2018-12-08T12:17:00Z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