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     2018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井头圩镇人民政府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85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2018.1.1-2018.12.31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1253.8967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1153.8967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1253.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8967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873.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8967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702.3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484.2</w:t>
            </w:r>
            <w:bookmarkStart w:id="0" w:name="_GoBack"/>
            <w:bookmarkEnd w:id="0"/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218.1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551.5969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389.6967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27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17.3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8.6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9.7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1.4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目标1：保障在职人员、离退休人员的正常办公、生活秩序；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目标2：全面落实信息公示制度。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目标3：立足服务民生，提高服务质量。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目标4：加大管理力度，强化依法行政能力。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保障在职人员、离退休人员的正常办公、生活秩序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已完成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信息公示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26个村及镇政府均已切实落实信息公示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立足服务民生，提高服务质量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服务大厅开设多个服务窗口，为群众办事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预算完成率有待提高。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合理安排预算支出计划，加强预算的控制。科学编制预算，提高预算准确率。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市财政局归口业务科室审核意见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市财政局预算绩效管理科意见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 2018年 8月 31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405054"/>
    <w:rsid w:val="005F66BB"/>
    <w:rsid w:val="006A6487"/>
    <w:rsid w:val="007309EE"/>
    <w:rsid w:val="007A031A"/>
    <w:rsid w:val="007A1B12"/>
    <w:rsid w:val="00807990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9394E"/>
    <w:rsid w:val="00FD4345"/>
    <w:rsid w:val="1702696D"/>
    <w:rsid w:val="1A614220"/>
    <w:rsid w:val="3C93307B"/>
    <w:rsid w:val="5F4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BGZ</Company>
  <Pages>3</Pages>
  <Words>605</Words>
  <Characters>810</Characters>
  <Lines>6</Lines>
  <Paragraphs>2</Paragraphs>
  <TotalTime>24</TotalTime>
  <ScaleCrop>false</ScaleCrop>
  <LinksUpToDate>false</LinksUpToDate>
  <CharactersWithSpaces>1413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2018-12-13T01:18:36Z</dcterms:modified>
  <dc:title>国家税务总局文件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