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201</w:t>
      </w:r>
      <w:r>
        <w:rPr>
          <w:rFonts w:hint="eastAsia" w:eastAsia="方正小标宋_GBK"/>
          <w:sz w:val="36"/>
          <w:szCs w:val="36"/>
          <w:lang w:val="en-US" w:eastAsia="zh-CN"/>
        </w:rPr>
        <w:t>7</w:t>
      </w:r>
      <w:r>
        <w:rPr>
          <w:rFonts w:hint="eastAsia" w:eastAsia="方正小标宋_GBK"/>
          <w:sz w:val="36"/>
          <w:szCs w:val="36"/>
        </w:rPr>
        <w:t>年度</w:t>
      </w:r>
      <w:r>
        <w:rPr>
          <w:rFonts w:hint="eastAsia" w:eastAsia="方正小标宋_GBK"/>
          <w:sz w:val="36"/>
          <w:szCs w:val="36"/>
          <w:lang w:val="en-US" w:eastAsia="zh-CN"/>
        </w:rPr>
        <w:t>司法局</w:t>
      </w:r>
      <w:r>
        <w:rPr>
          <w:rFonts w:hint="eastAsia" w:eastAsia="方正小标宋_GBK"/>
          <w:sz w:val="36"/>
          <w:szCs w:val="36"/>
        </w:rPr>
        <w:t>整体</w:t>
      </w:r>
      <w:r>
        <w:rPr>
          <w:rFonts w:eastAsia="方正小标宋_GBK"/>
          <w:sz w:val="36"/>
          <w:szCs w:val="36"/>
        </w:rPr>
        <w:t>支出绩效</w:t>
      </w:r>
      <w:r>
        <w:rPr>
          <w:rFonts w:hint="eastAsia" w:eastAsia="方正小标宋_GBK"/>
          <w:sz w:val="36"/>
          <w:szCs w:val="36"/>
        </w:rPr>
        <w:t>评价</w:t>
      </w:r>
      <w:r>
        <w:rPr>
          <w:rFonts w:eastAsia="方正小标宋_GBK"/>
          <w:sz w:val="36"/>
          <w:szCs w:val="36"/>
        </w:rPr>
        <w:t>报告</w:t>
      </w:r>
    </w:p>
    <w:p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概况</w:t>
      </w:r>
    </w:p>
    <w:p>
      <w:pPr>
        <w:numPr>
          <w:numId w:val="0"/>
        </w:numPr>
        <w:adjustRightInd w:val="0"/>
        <w:snapToGrid w:val="0"/>
        <w:spacing w:line="60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</w:t>
      </w:r>
      <w:r>
        <w:rPr>
          <w:rFonts w:hint="eastAsia" w:eastAsia="仿宋_GB2312"/>
          <w:b/>
          <w:bCs/>
          <w:sz w:val="32"/>
          <w:szCs w:val="32"/>
        </w:rPr>
        <w:t>部门</w:t>
      </w:r>
      <w:r>
        <w:rPr>
          <w:rFonts w:eastAsia="仿宋_GB2312"/>
          <w:b/>
          <w:bCs/>
          <w:sz w:val="32"/>
          <w:szCs w:val="32"/>
        </w:rPr>
        <w:t>基本情况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" w:eastAsia="仿宋_GB2312"/>
          <w:sz w:val="32"/>
          <w:szCs w:val="32"/>
        </w:rPr>
        <w:t>属正科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级</w:t>
      </w:r>
      <w:r>
        <w:rPr>
          <w:rFonts w:hint="eastAsia" w:ascii="仿宋_GB2312" w:hAnsi="仿宋" w:eastAsia="仿宋_GB2312"/>
          <w:sz w:val="32"/>
          <w:szCs w:val="32"/>
        </w:rPr>
        <w:t>单位，我局内设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个股室，1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个乡镇司法所，归口管理公证处、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慎明</w:t>
      </w:r>
      <w:r>
        <w:rPr>
          <w:rFonts w:hint="eastAsia" w:ascii="仿宋_GB2312" w:hAnsi="仿宋" w:eastAsia="仿宋_GB2312"/>
          <w:sz w:val="32"/>
          <w:szCs w:val="32"/>
        </w:rPr>
        <w:t>律师事务所和生智等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个法律服务所。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我局人员</w:t>
      </w:r>
      <w:r>
        <w:rPr>
          <w:rFonts w:hint="eastAsia" w:ascii="仿宋_GB2312" w:hAnsi="仿宋" w:eastAsia="仿宋_GB2312"/>
          <w:sz w:val="32"/>
          <w:szCs w:val="32"/>
        </w:rPr>
        <w:t>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制92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实有人数77人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主要工作职能：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、负责全县的法制宣传教育工作；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、指导、管理全县的人民调解工作；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、管理、监督全县的安置帮教和社区矫正工作；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、管理、监督全县的法律援助工作，负责“148”法律服务专线的日常管理工作；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、管理、监督全县的律师和法律服务工作；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、管理、监督全县的公证工作；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、管理、监督全县的司法鉴定工作；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、参与全县的社会治安综合治理工作。</w:t>
      </w:r>
    </w:p>
    <w:p>
      <w:pPr>
        <w:numPr>
          <w:ilvl w:val="0"/>
          <w:numId w:val="2"/>
        </w:num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部门整体支出规模、使用方向</w:t>
      </w:r>
      <w:r>
        <w:rPr>
          <w:rFonts w:eastAsia="仿宋_GB2312"/>
          <w:b/>
          <w:bCs/>
          <w:sz w:val="32"/>
          <w:szCs w:val="32"/>
        </w:rPr>
        <w:t>和主要内容、涉及范围等。</w:t>
      </w:r>
    </w:p>
    <w:tbl>
      <w:tblPr>
        <w:tblW w:w="78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59"/>
        <w:gridCol w:w="2103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36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支出项目</w:t>
            </w:r>
          </w:p>
        </w:tc>
        <w:tc>
          <w:tcPr>
            <w:tcW w:w="210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基本支出（万元）</w:t>
            </w:r>
          </w:p>
        </w:tc>
        <w:tc>
          <w:tcPr>
            <w:tcW w:w="2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项目支出（万元）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65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10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598.83</w:t>
            </w:r>
          </w:p>
        </w:tc>
        <w:tc>
          <w:tcPr>
            <w:tcW w:w="2134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65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10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214.03</w:t>
            </w:r>
          </w:p>
        </w:tc>
        <w:tc>
          <w:tcPr>
            <w:tcW w:w="2134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65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对个人和家庭补助</w:t>
            </w:r>
          </w:p>
        </w:tc>
        <w:tc>
          <w:tcPr>
            <w:tcW w:w="210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110.14</w:t>
            </w:r>
          </w:p>
        </w:tc>
        <w:tc>
          <w:tcPr>
            <w:tcW w:w="2134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65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2103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65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103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65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0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923.00</w:t>
            </w:r>
          </w:p>
        </w:tc>
        <w:tc>
          <w:tcPr>
            <w:tcW w:w="2134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部门整体支出</w:t>
      </w:r>
      <w:r>
        <w:rPr>
          <w:rFonts w:eastAsia="黑体"/>
          <w:sz w:val="32"/>
          <w:szCs w:val="32"/>
        </w:rPr>
        <w:t>使用情况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（一）基本支出</w:t>
      </w:r>
    </w:p>
    <w:p>
      <w:pPr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1.2017年支出决算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951</w:t>
      </w:r>
      <w:r>
        <w:rPr>
          <w:rFonts w:hint="eastAsia" w:ascii="仿宋_GB2312" w:eastAsia="仿宋_GB2312"/>
          <w:sz w:val="28"/>
          <w:szCs w:val="28"/>
        </w:rPr>
        <w:t xml:space="preserve"> 万元，财政拨款支出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951</w:t>
      </w:r>
      <w:r>
        <w:rPr>
          <w:rFonts w:hint="eastAsia" w:ascii="仿宋_GB2312" w:eastAsia="仿宋_GB2312"/>
          <w:sz w:val="28"/>
          <w:szCs w:val="28"/>
        </w:rPr>
        <w:t>万元。其中基本支出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923</w:t>
      </w:r>
      <w:r>
        <w:rPr>
          <w:rFonts w:hint="eastAsia" w:ascii="仿宋_GB2312" w:eastAsia="仿宋_GB2312"/>
          <w:sz w:val="28"/>
          <w:szCs w:val="28"/>
        </w:rPr>
        <w:t>万元，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同比减少39万元，</w:t>
      </w:r>
      <w:r>
        <w:rPr>
          <w:rFonts w:hint="eastAsia" w:ascii="仿宋_GB2312" w:eastAsia="仿宋_GB2312"/>
          <w:sz w:val="28"/>
          <w:szCs w:val="28"/>
        </w:rPr>
        <w:t>具体项目如下：</w:t>
      </w:r>
    </w:p>
    <w:tbl>
      <w:tblPr>
        <w:tblStyle w:val="9"/>
        <w:tblW w:w="5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支出项目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基本支出（万元）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对个人和家庭补助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2.2017年“三公经费”财政拨款支出共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16.78</w:t>
      </w:r>
      <w:r>
        <w:rPr>
          <w:rFonts w:hint="eastAsia" w:ascii="仿宋_GB2312" w:eastAsia="仿宋_GB2312"/>
          <w:sz w:val="28"/>
          <w:szCs w:val="28"/>
        </w:rPr>
        <w:t>万元，与上年决算数同比减少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0.82</w:t>
      </w:r>
      <w:r>
        <w:rPr>
          <w:rFonts w:hint="eastAsia" w:ascii="仿宋_GB2312" w:eastAsia="仿宋_GB2312"/>
          <w:sz w:val="28"/>
          <w:szCs w:val="28"/>
        </w:rPr>
        <w:t>万元，具体情况如下：</w:t>
      </w:r>
    </w:p>
    <w:p>
      <w:pPr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a. 因公出国（境）费0支出；</w:t>
      </w:r>
    </w:p>
    <w:p>
      <w:pPr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b. 公务用车购置及运行维护费支出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4.47</w:t>
      </w:r>
      <w:r>
        <w:rPr>
          <w:rFonts w:hint="eastAsia" w:ascii="仿宋_GB2312" w:eastAsia="仿宋_GB2312"/>
          <w:sz w:val="28"/>
          <w:szCs w:val="28"/>
        </w:rPr>
        <w:t>万元，同比减少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0.13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C、公务接待费支出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12.31</w:t>
      </w:r>
      <w:r>
        <w:rPr>
          <w:rFonts w:hint="eastAsia" w:ascii="仿宋_GB2312" w:eastAsia="仿宋_GB2312"/>
          <w:sz w:val="28"/>
          <w:szCs w:val="28"/>
        </w:rPr>
        <w:t>万元，同比减少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0.69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（二）项目支出</w:t>
      </w:r>
    </w:p>
    <w:p>
      <w:pPr>
        <w:ind w:firstLine="280" w:firstLineChars="1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2017年度项目支出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</w:rPr>
        <w:t>万元，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用于法律援助支出以及社区矫正支出。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部门整体支出管理情况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222222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222222"/>
          <w:kern w:val="0"/>
          <w:sz w:val="28"/>
          <w:szCs w:val="28"/>
        </w:rPr>
        <w:t>（一）基本支出管理情况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1.2017年财政拨款支出按用途划，其中：基本支出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951</w:t>
      </w:r>
      <w:r>
        <w:rPr>
          <w:rFonts w:hint="eastAsia" w:ascii="仿宋_GB2312" w:eastAsia="仿宋_GB2312"/>
          <w:sz w:val="28"/>
          <w:szCs w:val="28"/>
        </w:rPr>
        <w:t>万元，同比减少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万元，变化原因：主要是退休人员增加，开源节流，减少不必要开支。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2.我局2017年度“三公”经费支出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16.78</w:t>
      </w:r>
      <w:r>
        <w:rPr>
          <w:rFonts w:hint="eastAsia" w:ascii="仿宋_GB2312" w:eastAsia="仿宋_GB2312"/>
          <w:sz w:val="28"/>
          <w:szCs w:val="28"/>
        </w:rPr>
        <w:t>万元，其中公务接待费支出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12.31</w:t>
      </w:r>
      <w:r>
        <w:rPr>
          <w:rFonts w:hint="eastAsia" w:ascii="仿宋_GB2312" w:eastAsia="仿宋_GB2312"/>
          <w:sz w:val="28"/>
          <w:szCs w:val="28"/>
        </w:rPr>
        <w:t>万元；全年未购置公务用车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全年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公车运行及</w:t>
      </w:r>
      <w:r>
        <w:rPr>
          <w:rFonts w:hint="eastAsia" w:ascii="仿宋_GB2312" w:eastAsia="仿宋_GB2312"/>
          <w:sz w:val="28"/>
          <w:szCs w:val="28"/>
        </w:rPr>
        <w:t>维护费支出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4.47</w:t>
      </w:r>
      <w:r>
        <w:rPr>
          <w:rFonts w:hint="eastAsia" w:ascii="仿宋_GB2312" w:eastAsia="仿宋_GB2312"/>
          <w:sz w:val="28"/>
          <w:szCs w:val="28"/>
        </w:rPr>
        <w:t>万元，“三公”经费总体控制还比较理想。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（三）项目支出管理情况</w:t>
      </w:r>
    </w:p>
    <w:p>
      <w:pPr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2017年度项目支出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</w:rPr>
        <w:t>万元，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主要用于法律援助支出以及社区矫正支出。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</w:rPr>
        <w:t>部门整体支出</w:t>
      </w:r>
      <w:r>
        <w:rPr>
          <w:rFonts w:eastAsia="黑体"/>
          <w:sz w:val="32"/>
          <w:szCs w:val="32"/>
        </w:rPr>
        <w:t>绩效情况</w:t>
      </w:r>
    </w:p>
    <w:p>
      <w:pPr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本年支出配置控制较好。财政供养人员控制在预算编制以内，编制内在职人员控制率小于100%；基本支出较上年减少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39</w:t>
      </w:r>
      <w:r>
        <w:rPr>
          <w:rFonts w:hint="eastAsia" w:ascii="仿宋_GB2312" w:eastAsia="仿宋_GB2312"/>
          <w:sz w:val="28"/>
          <w:szCs w:val="28"/>
        </w:rPr>
        <w:t>万元，主要为本年度退休人员较多，工资福利支出减少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2.72</w:t>
      </w:r>
      <w:r>
        <w:rPr>
          <w:rFonts w:hint="eastAsia" w:ascii="仿宋_GB2312" w:eastAsia="仿宋_GB2312"/>
          <w:sz w:val="28"/>
          <w:szCs w:val="28"/>
        </w:rPr>
        <w:t>万元；“三公”经费支出总额与上年相比减少了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0.82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2..2017年度安排的基本支出保障了正常的工作运转，特别项目支出是非常必要的，在执行上是严格遵守各项财经纪律的，在项目资金的使用上也是放的心的，严守法律底线、纪律底线、道德底。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五、结合《部门整体支出绩效评价指标表》（见附件）的评价结果</w:t>
      </w:r>
    </w:p>
    <w:p>
      <w:pPr>
        <w:ind w:firstLine="280" w:firstLineChars="1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根据部门整体支出绩效评价指标体系，</w:t>
      </w:r>
      <w:r>
        <w:rPr>
          <w:rFonts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年度评价得分为9</w:t>
      </w: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分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六、存在的主要问题</w:t>
      </w:r>
    </w:p>
    <w:p>
      <w:pPr>
        <w:widowControl/>
        <w:spacing w:line="600" w:lineRule="exact"/>
        <w:ind w:firstLine="280" w:firstLineChars="1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2017年度支出列支不及时，支出的合理性有待提高。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改进措施和有关建议</w:t>
      </w:r>
    </w:p>
    <w:p>
      <w:pPr>
        <w:widowControl/>
        <w:shd w:val="clear" w:color="auto" w:fill="FFFFFF"/>
        <w:spacing w:line="600" w:lineRule="atLeast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1.加强财务管理，严格财务审核。在费用报账支付时，按照预算规定的费用项目和用途进行资金使用审核、列报支付、财务核算，杜绝超支现象的发生。</w:t>
      </w:r>
    </w:p>
    <w:p>
      <w:pPr>
        <w:widowControl/>
        <w:shd w:val="clear" w:color="auto" w:fill="FFFFFF"/>
        <w:spacing w:line="600" w:lineRule="atLeast"/>
        <w:ind w:firstLine="280" w:firstLineChars="1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5760" w:firstLineChars="180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东安县司法局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2018</w:t>
      </w:r>
      <w:r>
        <w:rPr>
          <w:rFonts w:hint="eastAsia" w:eastAsia="仿宋_GB2312"/>
          <w:sz w:val="32"/>
          <w:szCs w:val="32"/>
        </w:rPr>
        <w:t xml:space="preserve">年 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 xml:space="preserve"> 月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 xml:space="preserve">  日</w:t>
      </w: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49706A"/>
    <w:multiLevelType w:val="singleLevel"/>
    <w:tmpl w:val="9E49706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0CD3D0B"/>
    <w:multiLevelType w:val="singleLevel"/>
    <w:tmpl w:val="E0CD3D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023F5"/>
    <w:rsid w:val="00037B95"/>
    <w:rsid w:val="00151FB2"/>
    <w:rsid w:val="0017128D"/>
    <w:rsid w:val="00273308"/>
    <w:rsid w:val="002A087C"/>
    <w:rsid w:val="00491393"/>
    <w:rsid w:val="004A139B"/>
    <w:rsid w:val="005A30F2"/>
    <w:rsid w:val="005B2827"/>
    <w:rsid w:val="006117C5"/>
    <w:rsid w:val="0061728F"/>
    <w:rsid w:val="0073431B"/>
    <w:rsid w:val="00762D52"/>
    <w:rsid w:val="00783181"/>
    <w:rsid w:val="00836368"/>
    <w:rsid w:val="00877BA1"/>
    <w:rsid w:val="00A76448"/>
    <w:rsid w:val="00B30C5E"/>
    <w:rsid w:val="00B74A87"/>
    <w:rsid w:val="00C25252"/>
    <w:rsid w:val="00CE0BD6"/>
    <w:rsid w:val="00D116AF"/>
    <w:rsid w:val="00D1790A"/>
    <w:rsid w:val="00D90AB0"/>
    <w:rsid w:val="00DF468F"/>
    <w:rsid w:val="00E023F5"/>
    <w:rsid w:val="00E641CA"/>
    <w:rsid w:val="00E96CA1"/>
    <w:rsid w:val="00EA1F7D"/>
    <w:rsid w:val="00F16E04"/>
    <w:rsid w:val="00F94903"/>
    <w:rsid w:val="2FDB1CCA"/>
    <w:rsid w:val="30CB1F36"/>
    <w:rsid w:val="39000043"/>
    <w:rsid w:val="3A8410E1"/>
    <w:rsid w:val="406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800080" w:themeColor="followedHyperlink"/>
      <w:u w:val="single"/>
    </w:rPr>
  </w:style>
  <w:style w:type="character" w:styleId="7">
    <w:name w:val="Hyperlink"/>
    <w:basedOn w:val="5"/>
    <w:uiPriority w:val="0"/>
    <w:rPr>
      <w:color w:val="0000FF" w:themeColor="hyperlink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2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106</Words>
  <Characters>609</Characters>
  <Lines>5</Lines>
  <Paragraphs>1</Paragraphs>
  <TotalTime>1</TotalTime>
  <ScaleCrop>false</ScaleCrop>
  <LinksUpToDate>false</LinksUpToDate>
  <CharactersWithSpaces>714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2015-08-13T01:19:00Z</dcterms:created>
  <dc:creator>Lenovo User</dc:creator>
  <cp:lastModifiedBy>Administrator</cp:lastModifiedBy>
  <cp:lastPrinted>2013-10-09T02:05:00Z</cp:lastPrinted>
  <dcterms:modified xsi:type="dcterms:W3CDTF">2018-12-12T03:10:22Z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