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端桥铺</w:t>
      </w:r>
      <w:r>
        <w:rPr>
          <w:rFonts w:hint="eastAsia" w:ascii="方正小标宋_GBK" w:eastAsia="方正小标宋_GBK"/>
          <w:sz w:val="36"/>
          <w:szCs w:val="36"/>
        </w:rPr>
        <w:t>镇村级运转经费专项资金绩效评价报告</w:t>
      </w:r>
    </w:p>
    <w:p>
      <w:pPr>
        <w:adjustRightInd w:val="0"/>
        <w:spacing w:line="600" w:lineRule="exact"/>
        <w:jc w:val="center"/>
        <w:rPr>
          <w:rFonts w:eastAsia="黑体"/>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一、项目概况</w:t>
      </w:r>
    </w:p>
    <w:p>
      <w:pPr>
        <w:adjustRightInd w:val="0"/>
        <w:snapToGrid w:val="0"/>
        <w:spacing w:line="600" w:lineRule="exact"/>
        <w:rPr>
          <w:rFonts w:eastAsia="仿宋_GB2312"/>
          <w:sz w:val="32"/>
          <w:szCs w:val="32"/>
        </w:rPr>
      </w:pPr>
      <w:r>
        <w:rPr>
          <w:rFonts w:eastAsia="仿宋_GB2312"/>
          <w:sz w:val="32"/>
          <w:szCs w:val="32"/>
        </w:rPr>
        <w:t>（一）项目基本情况简介</w:t>
      </w:r>
    </w:p>
    <w:p>
      <w:pPr>
        <w:adjustRightInd w:val="0"/>
        <w:snapToGrid w:val="0"/>
        <w:spacing w:line="600" w:lineRule="exact"/>
        <w:ind w:firstLine="640" w:firstLineChars="200"/>
        <w:rPr>
          <w:rFonts w:eastAsia="仿宋_GB2312"/>
          <w:sz w:val="32"/>
          <w:szCs w:val="32"/>
        </w:rPr>
      </w:pPr>
      <w:r>
        <w:rPr>
          <w:rFonts w:hint="eastAsia" w:eastAsia="仿宋_GB2312"/>
          <w:sz w:val="32"/>
          <w:szCs w:val="32"/>
          <w:lang w:eastAsia="zh-CN"/>
        </w:rPr>
        <w:t>端桥铺</w:t>
      </w:r>
      <w:r>
        <w:rPr>
          <w:rFonts w:eastAsia="仿宋_GB2312"/>
          <w:sz w:val="32"/>
          <w:szCs w:val="32"/>
        </w:rPr>
        <w:t>镇，湖南省永州市东安县辖镇，位于永州市</w:t>
      </w:r>
      <w:r>
        <w:fldChar w:fldCharType="begin"/>
      </w:r>
      <w:r>
        <w:instrText xml:space="preserve"> HYPERLINK "https://baike.so.com/doc/4136082-4335664.html" \t "_blank" </w:instrText>
      </w:r>
      <w:r>
        <w:fldChar w:fldCharType="separate"/>
      </w:r>
      <w:r>
        <w:rPr>
          <w:rFonts w:eastAsia="仿宋_GB2312"/>
          <w:sz w:val="32"/>
          <w:szCs w:val="32"/>
        </w:rPr>
        <w:t>东安县</w:t>
      </w:r>
      <w:r>
        <w:rPr>
          <w:rFonts w:eastAsia="仿宋_GB2312"/>
          <w:sz w:val="32"/>
          <w:szCs w:val="32"/>
        </w:rPr>
        <w:fldChar w:fldCharType="end"/>
      </w:r>
      <w:r>
        <w:rPr>
          <w:rFonts w:eastAsia="仿宋_GB2312"/>
          <w:sz w:val="32"/>
          <w:szCs w:val="32"/>
        </w:rPr>
        <w:t>中西部，总面积</w:t>
      </w:r>
      <w:r>
        <w:rPr>
          <w:rFonts w:hint="eastAsia" w:eastAsia="仿宋_GB2312"/>
          <w:sz w:val="32"/>
          <w:szCs w:val="32"/>
          <w:lang w:val="en-US" w:eastAsia="zh-CN"/>
        </w:rPr>
        <w:t>136.22</w:t>
      </w:r>
      <w:r>
        <w:rPr>
          <w:rFonts w:eastAsia="仿宋_GB2312"/>
          <w:sz w:val="32"/>
          <w:szCs w:val="32"/>
        </w:rPr>
        <w:t>平方公里，</w:t>
      </w:r>
      <w:r>
        <w:rPr>
          <w:rFonts w:hint="eastAsia" w:eastAsia="仿宋_GB2312"/>
          <w:sz w:val="32"/>
          <w:szCs w:val="32"/>
          <w:lang w:val="en-US" w:eastAsia="zh-CN"/>
        </w:rPr>
        <w:t>23</w:t>
      </w:r>
      <w:r>
        <w:rPr>
          <w:rFonts w:hint="eastAsia" w:eastAsia="仿宋_GB2312"/>
          <w:sz w:val="32"/>
          <w:szCs w:val="32"/>
        </w:rPr>
        <w:t>个行政村</w:t>
      </w:r>
      <w:r>
        <w:rPr>
          <w:rFonts w:eastAsia="仿宋_GB2312"/>
          <w:sz w:val="32"/>
          <w:szCs w:val="32"/>
        </w:rPr>
        <w:t>，共</w:t>
      </w:r>
      <w:r>
        <w:rPr>
          <w:rFonts w:hint="eastAsia" w:eastAsia="仿宋_GB2312"/>
          <w:sz w:val="32"/>
          <w:szCs w:val="32"/>
          <w:lang w:val="en-US" w:eastAsia="zh-CN"/>
        </w:rPr>
        <w:t>13447</w:t>
      </w:r>
      <w:r>
        <w:rPr>
          <w:rFonts w:eastAsia="仿宋_GB2312"/>
          <w:sz w:val="32"/>
          <w:szCs w:val="32"/>
        </w:rPr>
        <w:t>户，</w:t>
      </w:r>
      <w:r>
        <w:rPr>
          <w:rFonts w:hint="eastAsia" w:eastAsia="仿宋_GB2312"/>
          <w:sz w:val="32"/>
          <w:szCs w:val="32"/>
        </w:rPr>
        <w:t>65426</w:t>
      </w:r>
      <w:r>
        <w:rPr>
          <w:rFonts w:eastAsia="仿宋_GB2312"/>
          <w:sz w:val="32"/>
          <w:szCs w:val="32"/>
        </w:rPr>
        <w:t>人</w:t>
      </w:r>
      <w:r>
        <w:rPr>
          <w:rFonts w:hint="eastAsia" w:eastAsia="仿宋_GB2312"/>
          <w:sz w:val="32"/>
          <w:szCs w:val="32"/>
        </w:rPr>
        <w:t>，其中村级运转经费共</w:t>
      </w:r>
      <w:r>
        <w:rPr>
          <w:rFonts w:hint="eastAsia" w:eastAsia="仿宋_GB2312"/>
          <w:sz w:val="32"/>
          <w:szCs w:val="32"/>
          <w:lang w:val="en-US" w:eastAsia="zh-CN"/>
        </w:rPr>
        <w:t>343</w:t>
      </w:r>
      <w:bookmarkStart w:id="0" w:name="_GoBack"/>
      <w:bookmarkEnd w:id="0"/>
      <w:r>
        <w:rPr>
          <w:rFonts w:hint="eastAsia" w:eastAsia="仿宋_GB2312"/>
          <w:sz w:val="32"/>
          <w:szCs w:val="32"/>
        </w:rPr>
        <w:t>万元，完成政府交办和下达的各项工作任务及乡村建设，切实履行法律规定的各项权利和义务，保证村支两委正常运转和发展农村经济和社会各项事业。</w:t>
      </w:r>
    </w:p>
    <w:p>
      <w:pPr>
        <w:numPr>
          <w:ilvl w:val="0"/>
          <w:numId w:val="1"/>
        </w:numPr>
        <w:adjustRightInd w:val="0"/>
        <w:snapToGrid w:val="0"/>
        <w:spacing w:line="600" w:lineRule="exact"/>
        <w:rPr>
          <w:rFonts w:eastAsia="仿宋_GB2312"/>
          <w:sz w:val="32"/>
          <w:szCs w:val="32"/>
        </w:rPr>
      </w:pPr>
      <w:r>
        <w:rPr>
          <w:rFonts w:eastAsia="仿宋_GB2312"/>
          <w:sz w:val="32"/>
          <w:szCs w:val="32"/>
        </w:rPr>
        <w:t>项目绩效目标</w:t>
      </w:r>
      <w:r>
        <w:rPr>
          <w:rFonts w:hint="eastAsia" w:eastAsia="仿宋_GB2312"/>
          <w:sz w:val="32"/>
          <w:szCs w:val="32"/>
        </w:rPr>
        <w:t>。</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为了更好地发展乡村经济，村干部工资按时发放率为100%；</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对村级公务经费进行合理的配置，充分将服务群众的经费进行了最大化利用；</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按镇政府的部署和上级主管部门的要求完成本年度工作和上报中长期工作计划；</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按照镇政府的部署完成本年度在社会治安、民间纠纷、安全监管等方面的工作任务，完成本年度农田水利基本建设、村级公路、植树造林任务和村级一事一议的组织和引导工作。</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完成新农保、新农合工作目标；</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完成农村五保户、低保户的核定及资金发放工作</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完成其他惠农补贴发放的基础数据收集及工时工作；</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完成镇政府交办的各项重点工作和其他中心工作任务；</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计划生育、社会治安综合治理、安全生产达全县先进行列、群众上访率控制在最低标准以内；</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支委的主导下，搞好党风廉政建设及反腐工作；</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群众对村干部满意率达98%以上，退休村干生活补助报账发放达100%。</w:t>
      </w:r>
    </w:p>
    <w:p>
      <w:pPr>
        <w:adjustRightInd w:val="0"/>
        <w:snapToGrid w:val="0"/>
        <w:spacing w:line="600" w:lineRule="exact"/>
        <w:ind w:firstLine="640" w:firstLineChars="200"/>
        <w:rPr>
          <w:rFonts w:eastAsia="黑体"/>
          <w:sz w:val="32"/>
          <w:szCs w:val="32"/>
        </w:rPr>
      </w:pPr>
      <w:r>
        <w:rPr>
          <w:rFonts w:eastAsia="黑体"/>
          <w:sz w:val="32"/>
          <w:szCs w:val="32"/>
        </w:rPr>
        <w:t>二、项目资金使用及管理情况</w:t>
      </w:r>
    </w:p>
    <w:p>
      <w:pPr>
        <w:adjustRightInd w:val="0"/>
        <w:snapToGrid w:val="0"/>
        <w:spacing w:line="600" w:lineRule="exact"/>
        <w:ind w:firstLine="640"/>
        <w:rPr>
          <w:rFonts w:eastAsia="仿宋_GB2312"/>
          <w:sz w:val="32"/>
          <w:szCs w:val="32"/>
        </w:rPr>
      </w:pPr>
      <w:r>
        <w:rPr>
          <w:rFonts w:hint="eastAsia" w:eastAsia="仿宋_GB2312"/>
          <w:sz w:val="32"/>
          <w:szCs w:val="32"/>
        </w:rPr>
        <w:t>1、党委政府用文件的形式将村级</w:t>
      </w:r>
      <w:r>
        <w:rPr>
          <w:rFonts w:hint="eastAsia" w:eastAsia="仿宋_GB2312"/>
          <w:sz w:val="32"/>
          <w:szCs w:val="32"/>
          <w:lang w:eastAsia="zh-CN"/>
        </w:rPr>
        <w:t>运转</w:t>
      </w:r>
      <w:r>
        <w:rPr>
          <w:rFonts w:hint="eastAsia" w:eastAsia="仿宋_GB2312"/>
          <w:sz w:val="32"/>
          <w:szCs w:val="32"/>
        </w:rPr>
        <w:t>经费根据各村人口、地域、土地面积、历史等各项因素科学合理的将所有资金分配到各行政村，做到公平公正公开透明。</w:t>
      </w:r>
    </w:p>
    <w:p>
      <w:pPr>
        <w:adjustRightInd w:val="0"/>
        <w:snapToGrid w:val="0"/>
        <w:spacing w:line="600" w:lineRule="exact"/>
        <w:ind w:firstLine="640"/>
        <w:rPr>
          <w:rFonts w:eastAsia="仿宋_GB2312"/>
          <w:sz w:val="32"/>
          <w:szCs w:val="32"/>
        </w:rPr>
      </w:pPr>
      <w:r>
        <w:rPr>
          <w:rFonts w:hint="eastAsia" w:eastAsia="仿宋_GB2312"/>
          <w:sz w:val="32"/>
          <w:szCs w:val="32"/>
        </w:rPr>
        <w:t>2、制定村级财务制度，并实行村</w:t>
      </w:r>
      <w:r>
        <w:rPr>
          <w:rFonts w:hint="eastAsia" w:eastAsia="仿宋_GB2312"/>
          <w:sz w:val="32"/>
          <w:szCs w:val="32"/>
          <w:lang w:eastAsia="zh-CN"/>
        </w:rPr>
        <w:t>账</w:t>
      </w:r>
      <w:r>
        <w:rPr>
          <w:rFonts w:hint="eastAsia" w:eastAsia="仿宋_GB2312"/>
          <w:sz w:val="32"/>
          <w:szCs w:val="32"/>
        </w:rPr>
        <w:t>乡代理制度，严控三公经费的使用，财政所按时用银行转账的方式将资金拨付到各村账户，保证了资金的安全。</w:t>
      </w:r>
    </w:p>
    <w:p>
      <w:pPr>
        <w:adjustRightInd w:val="0"/>
        <w:snapToGrid w:val="0"/>
        <w:spacing w:line="600" w:lineRule="exact"/>
        <w:ind w:firstLine="640"/>
        <w:rPr>
          <w:rFonts w:eastAsia="仿宋_GB2312"/>
          <w:sz w:val="32"/>
          <w:szCs w:val="32"/>
        </w:rPr>
      </w:pPr>
      <w:r>
        <w:rPr>
          <w:rFonts w:hint="eastAsia" w:eastAsia="仿宋_GB2312"/>
          <w:sz w:val="32"/>
          <w:szCs w:val="32"/>
        </w:rPr>
        <w:t>3、制定村级目标考核制度，对村主要工作职责和政府中心工作纳入绩效考核。</w:t>
      </w:r>
    </w:p>
    <w:p>
      <w:pPr>
        <w:adjustRightInd w:val="0"/>
        <w:snapToGrid w:val="0"/>
        <w:spacing w:line="600" w:lineRule="exact"/>
        <w:ind w:firstLine="640"/>
        <w:rPr>
          <w:rFonts w:eastAsia="仿宋_GB2312"/>
          <w:sz w:val="32"/>
          <w:szCs w:val="32"/>
        </w:rPr>
      </w:pPr>
      <w:r>
        <w:rPr>
          <w:rFonts w:hint="eastAsia" w:eastAsia="仿宋_GB2312"/>
          <w:sz w:val="32"/>
          <w:szCs w:val="32"/>
        </w:rPr>
        <w:t>4、各村年初向镇党委递交了年度经济发展计划及中长期经济发展规划。签订了党风廉政建设、计划生育综合治理、社会治安综合治理、安全生产责任状。</w:t>
      </w:r>
    </w:p>
    <w:p>
      <w:pPr>
        <w:adjustRightInd w:val="0"/>
        <w:snapToGrid w:val="0"/>
        <w:spacing w:line="600" w:lineRule="exact"/>
        <w:ind w:firstLine="640"/>
        <w:rPr>
          <w:rFonts w:eastAsia="仿宋_GB2312"/>
          <w:sz w:val="32"/>
          <w:szCs w:val="32"/>
        </w:rPr>
      </w:pPr>
      <w:r>
        <w:rPr>
          <w:rFonts w:hint="eastAsia" w:eastAsia="仿宋_GB2312"/>
          <w:sz w:val="32"/>
          <w:szCs w:val="32"/>
        </w:rPr>
        <w:t>5、由党委在每年的四月对上年度村级运转经费及其他资金的管理和使用情况进行检查并形成制度。</w:t>
      </w:r>
    </w:p>
    <w:p>
      <w:pPr>
        <w:spacing w:line="600" w:lineRule="exact"/>
        <w:ind w:firstLine="640" w:firstLineChars="200"/>
        <w:rPr>
          <w:rFonts w:eastAsia="仿宋_GB2312"/>
          <w:sz w:val="32"/>
          <w:szCs w:val="32"/>
        </w:rPr>
      </w:pPr>
      <w:r>
        <w:rPr>
          <w:rFonts w:hint="eastAsia" w:eastAsia="黑体"/>
          <w:sz w:val="32"/>
          <w:szCs w:val="32"/>
        </w:rPr>
        <w:t>四</w:t>
      </w:r>
      <w:r>
        <w:rPr>
          <w:rFonts w:eastAsia="黑体"/>
          <w:sz w:val="32"/>
          <w:szCs w:val="32"/>
        </w:rPr>
        <w:t>、项目绩效</w:t>
      </w:r>
      <w:r>
        <w:rPr>
          <w:rFonts w:hint="eastAsia" w:eastAsia="黑体"/>
          <w:sz w:val="32"/>
          <w:szCs w:val="32"/>
        </w:rPr>
        <w:t>情况</w:t>
      </w:r>
    </w:p>
    <w:p>
      <w:pPr>
        <w:adjustRightInd w:val="0"/>
        <w:snapToGrid w:val="0"/>
        <w:spacing w:line="600" w:lineRule="exact"/>
        <w:ind w:firstLine="640"/>
        <w:rPr>
          <w:rFonts w:eastAsia="仿宋_GB2312"/>
          <w:sz w:val="32"/>
          <w:szCs w:val="32"/>
        </w:rPr>
      </w:pPr>
      <w:r>
        <w:rPr>
          <w:rFonts w:hint="eastAsia" w:eastAsia="仿宋_GB2312"/>
          <w:sz w:val="32"/>
          <w:szCs w:val="32"/>
        </w:rPr>
        <w:t>1、农村居民人均收入较上年有所增长；</w:t>
      </w:r>
    </w:p>
    <w:p>
      <w:pPr>
        <w:adjustRightInd w:val="0"/>
        <w:snapToGrid w:val="0"/>
        <w:spacing w:line="600" w:lineRule="exact"/>
        <w:ind w:firstLine="640"/>
        <w:rPr>
          <w:rFonts w:eastAsia="仿宋_GB2312"/>
          <w:sz w:val="32"/>
          <w:szCs w:val="32"/>
        </w:rPr>
      </w:pPr>
      <w:r>
        <w:rPr>
          <w:rFonts w:hint="eastAsia" w:eastAsia="仿宋_GB2312"/>
          <w:sz w:val="32"/>
          <w:szCs w:val="32"/>
        </w:rPr>
        <w:t>2、村干部待遇达到了省市县规定的基数。</w:t>
      </w:r>
    </w:p>
    <w:p>
      <w:pPr>
        <w:adjustRightInd w:val="0"/>
        <w:snapToGrid w:val="0"/>
        <w:spacing w:line="600" w:lineRule="exact"/>
        <w:ind w:firstLine="640"/>
        <w:rPr>
          <w:rFonts w:eastAsia="仿宋_GB2312"/>
          <w:sz w:val="32"/>
          <w:szCs w:val="32"/>
        </w:rPr>
      </w:pPr>
      <w:r>
        <w:rPr>
          <w:rFonts w:hint="eastAsia" w:eastAsia="仿宋_GB2312"/>
          <w:sz w:val="32"/>
          <w:szCs w:val="32"/>
        </w:rPr>
        <w:t>3、社会治安民意调查排名良好，民众反响较好；</w:t>
      </w:r>
    </w:p>
    <w:p>
      <w:pPr>
        <w:adjustRightInd w:val="0"/>
        <w:snapToGrid w:val="0"/>
        <w:spacing w:line="600" w:lineRule="exact"/>
        <w:ind w:firstLine="640"/>
        <w:rPr>
          <w:rFonts w:eastAsia="仿宋_GB2312"/>
          <w:sz w:val="32"/>
          <w:szCs w:val="32"/>
        </w:rPr>
      </w:pPr>
      <w:r>
        <w:rPr>
          <w:rFonts w:hint="eastAsia" w:eastAsia="仿宋_GB2312"/>
          <w:sz w:val="32"/>
          <w:szCs w:val="32"/>
        </w:rPr>
        <w:t>4、农村清洁工程每季度检查情况良好。民众反响较好；</w:t>
      </w:r>
    </w:p>
    <w:p>
      <w:pPr>
        <w:adjustRightInd w:val="0"/>
        <w:snapToGrid w:val="0"/>
        <w:spacing w:line="600" w:lineRule="exact"/>
        <w:ind w:firstLine="640"/>
        <w:rPr>
          <w:rFonts w:eastAsia="仿宋_GB2312"/>
          <w:sz w:val="32"/>
          <w:szCs w:val="32"/>
        </w:rPr>
      </w:pPr>
      <w:r>
        <w:rPr>
          <w:rFonts w:hint="eastAsia" w:eastAsia="仿宋_GB2312"/>
          <w:sz w:val="32"/>
          <w:szCs w:val="32"/>
        </w:rPr>
        <w:t>5、惠农资金兑现率和农民卡发放率达100%，较上年由一定提高；</w:t>
      </w:r>
    </w:p>
    <w:p>
      <w:pPr>
        <w:adjustRightInd w:val="0"/>
        <w:snapToGrid w:val="0"/>
        <w:spacing w:line="600" w:lineRule="exact"/>
        <w:ind w:firstLine="640"/>
        <w:rPr>
          <w:rFonts w:eastAsia="仿宋_GB2312"/>
          <w:sz w:val="32"/>
          <w:szCs w:val="32"/>
        </w:rPr>
      </w:pPr>
      <w:r>
        <w:rPr>
          <w:rFonts w:hint="eastAsia" w:eastAsia="仿宋_GB2312"/>
          <w:sz w:val="32"/>
          <w:szCs w:val="32"/>
        </w:rPr>
        <w:t>6、新农合参保率和新农保参合率均达100%；</w:t>
      </w:r>
    </w:p>
    <w:p>
      <w:pPr>
        <w:adjustRightInd w:val="0"/>
        <w:snapToGrid w:val="0"/>
        <w:spacing w:line="600" w:lineRule="exact"/>
        <w:ind w:firstLine="640"/>
        <w:rPr>
          <w:rFonts w:eastAsia="仿宋_GB2312"/>
          <w:sz w:val="32"/>
          <w:szCs w:val="32"/>
        </w:rPr>
      </w:pPr>
      <w:r>
        <w:rPr>
          <w:rFonts w:hint="eastAsia" w:eastAsia="仿宋_GB2312"/>
          <w:sz w:val="32"/>
          <w:szCs w:val="32"/>
        </w:rPr>
        <w:t>7、经过党政办的电话调查和下乡走访，村干对党委政府工作的安排与协调满意很高，电话调查与实人访谈的满意率在99%以上。</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四</w:t>
      </w:r>
      <w:r>
        <w:rPr>
          <w:rFonts w:ascii="黑体" w:eastAsia="黑体"/>
          <w:sz w:val="32"/>
          <w:szCs w:val="32"/>
        </w:rPr>
        <w:t>、</w:t>
      </w:r>
      <w:r>
        <w:rPr>
          <w:rFonts w:hint="eastAsia" w:ascii="黑体" w:eastAsia="黑体"/>
          <w:sz w:val="32"/>
          <w:szCs w:val="32"/>
        </w:rPr>
        <w:t>结合《专项资金绩效评价指标表》的评价结果</w:t>
      </w:r>
    </w:p>
    <w:p>
      <w:pPr>
        <w:adjustRightInd w:val="0"/>
        <w:snapToGrid w:val="0"/>
        <w:spacing w:line="600" w:lineRule="exact"/>
        <w:ind w:firstLine="640"/>
        <w:rPr>
          <w:rFonts w:eastAsia="仿宋_GB2312"/>
          <w:sz w:val="32"/>
          <w:szCs w:val="32"/>
        </w:rPr>
      </w:pPr>
      <w:r>
        <w:rPr>
          <w:rFonts w:hint="eastAsia" w:eastAsia="仿宋_GB2312"/>
          <w:sz w:val="32"/>
          <w:szCs w:val="32"/>
        </w:rPr>
        <w:t>1、确保了农村基层党组织和基层政权的稳定，农村税费改革后，村集体取消了三提五统，村级经费难以保障。再加上并村并组，村干部角色已悄然发生变化，市场经济条件下，在强调村干部的贡献依然不行，一定的经济保障是维持村干部队伍的基础。</w:t>
      </w:r>
    </w:p>
    <w:p>
      <w:pPr>
        <w:adjustRightInd w:val="0"/>
        <w:snapToGrid w:val="0"/>
        <w:spacing w:line="600" w:lineRule="exact"/>
        <w:ind w:firstLine="640"/>
        <w:rPr>
          <w:rFonts w:eastAsia="仿宋_GB2312"/>
          <w:sz w:val="32"/>
          <w:szCs w:val="32"/>
        </w:rPr>
      </w:pPr>
      <w:r>
        <w:rPr>
          <w:rFonts w:hint="eastAsia" w:eastAsia="仿宋_GB2312"/>
          <w:sz w:val="32"/>
          <w:szCs w:val="32"/>
        </w:rPr>
        <w:t>2、位管理型，知识型，年轻化村干部的出现，创造了条件。村级转移支付逐年增加，村干工资也逐年增加，对有志于带领乡民共同致富、开创一番事业的返乡青壮年以及立志实现自我价值、敢为人先的大学生村官们也解除了部分忧虑。</w:t>
      </w:r>
    </w:p>
    <w:p>
      <w:pPr>
        <w:adjustRightInd w:val="0"/>
        <w:snapToGrid w:val="0"/>
        <w:spacing w:line="600" w:lineRule="exact"/>
        <w:ind w:firstLine="640"/>
        <w:rPr>
          <w:rFonts w:eastAsia="仿宋_GB2312"/>
          <w:sz w:val="32"/>
          <w:szCs w:val="32"/>
        </w:rPr>
      </w:pPr>
      <w:r>
        <w:rPr>
          <w:rFonts w:hint="eastAsia" w:eastAsia="仿宋_GB2312"/>
          <w:sz w:val="32"/>
          <w:szCs w:val="32"/>
        </w:rPr>
        <w:t>3、公益事业建设有了一定保证。逐年增加的转移支付资金，使各村在保障正常运转的同时，可以拿出一部分资金用于普制公益事业建设。</w:t>
      </w:r>
    </w:p>
    <w:p>
      <w:pPr>
        <w:adjustRightInd w:val="0"/>
        <w:snapToGrid w:val="0"/>
        <w:spacing w:line="600" w:lineRule="exact"/>
        <w:ind w:firstLine="640"/>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五、</w:t>
      </w:r>
      <w:r>
        <w:rPr>
          <w:rFonts w:hint="eastAsia" w:eastAsia="黑体"/>
          <w:sz w:val="32"/>
          <w:szCs w:val="32"/>
        </w:rPr>
        <w:t>建议</w:t>
      </w:r>
    </w:p>
    <w:p>
      <w:pPr>
        <w:adjustRightInd w:val="0"/>
        <w:snapToGrid w:val="0"/>
        <w:spacing w:line="600" w:lineRule="exact"/>
        <w:rPr>
          <w:rFonts w:eastAsia="仿宋_GB2312"/>
          <w:sz w:val="32"/>
          <w:szCs w:val="32"/>
        </w:rPr>
      </w:pPr>
      <w:r>
        <w:rPr>
          <w:rFonts w:hint="eastAsia" w:eastAsia="仿宋_GB2312"/>
          <w:sz w:val="32"/>
          <w:szCs w:val="32"/>
        </w:rPr>
        <w:t xml:space="preserve">     为加强村级运转经费的使用管理，确保运转经费的合理运用，应该要1、科学制定村级运转经费的发放范围，科学地将公用经费列支。2、严格村级运转经费的使用程序，规范业务将资金落到实处。3、加强对村级运转经费的监督管理，建立健全经费审批制度保证运转经费的合理运用。</w:t>
      </w:r>
    </w:p>
    <w:p>
      <w:pPr>
        <w:adjustRightInd w:val="0"/>
        <w:snapToGrid w:val="0"/>
        <w:spacing w:line="600" w:lineRule="exact"/>
        <w:rPr>
          <w:rFonts w:eastAsia="仿宋_GB2312"/>
          <w:sz w:val="32"/>
          <w:szCs w:val="32"/>
        </w:rPr>
      </w:pPr>
    </w:p>
    <w:p>
      <w:pPr>
        <w:adjustRightInd w:val="0"/>
        <w:snapToGrid w:val="0"/>
        <w:spacing w:line="600" w:lineRule="exact"/>
        <w:rPr>
          <w:rFonts w:eastAsia="仿宋_GB2312"/>
          <w:sz w:val="32"/>
          <w:szCs w:val="32"/>
        </w:rPr>
      </w:pPr>
    </w:p>
    <w:p>
      <w:pPr>
        <w:adjustRightInd w:val="0"/>
        <w:snapToGrid w:val="0"/>
        <w:spacing w:line="600" w:lineRule="exact"/>
        <w:rPr>
          <w:rFonts w:eastAsia="仿宋_GB2312"/>
          <w:sz w:val="32"/>
          <w:szCs w:val="32"/>
        </w:rPr>
      </w:pPr>
      <w:r>
        <w:rPr>
          <w:rFonts w:hint="eastAsia" w:eastAsia="仿宋_GB2312"/>
          <w:sz w:val="32"/>
          <w:szCs w:val="32"/>
        </w:rPr>
        <w:t xml:space="preserve">                                   </w:t>
      </w:r>
      <w:r>
        <w:rPr>
          <w:rFonts w:hint="eastAsia" w:eastAsia="仿宋_GB2312"/>
          <w:sz w:val="32"/>
          <w:szCs w:val="32"/>
          <w:lang w:eastAsia="zh-CN"/>
        </w:rPr>
        <w:t>端桥铺</w:t>
      </w:r>
      <w:r>
        <w:rPr>
          <w:rFonts w:hint="eastAsia" w:eastAsia="仿宋_GB2312"/>
          <w:sz w:val="32"/>
          <w:szCs w:val="32"/>
        </w:rPr>
        <w:t>镇人民政府</w:t>
      </w:r>
    </w:p>
    <w:p>
      <w:pPr>
        <w:adjustRightInd w:val="0"/>
        <w:ind w:firstLine="640" w:firstLineChars="200"/>
        <w:jc w:val="right"/>
        <w:rPr>
          <w:rFonts w:eastAsia="仿宋_GB2312"/>
          <w:sz w:val="32"/>
          <w:szCs w:val="32"/>
        </w:rPr>
      </w:pPr>
      <w:r>
        <w:rPr>
          <w:rFonts w:hint="eastAsia" w:eastAsia="仿宋_GB2312"/>
          <w:sz w:val="32"/>
          <w:szCs w:val="32"/>
        </w:rPr>
        <w:t>2018年1</w:t>
      </w:r>
      <w:r>
        <w:rPr>
          <w:rFonts w:hint="eastAsia" w:eastAsia="仿宋_GB2312"/>
          <w:sz w:val="32"/>
          <w:szCs w:val="32"/>
          <w:lang w:val="en-US" w:eastAsia="zh-CN"/>
        </w:rPr>
        <w:t>2</w:t>
      </w:r>
      <w:r>
        <w:rPr>
          <w:rFonts w:hint="eastAsia" w:eastAsia="仿宋_GB2312"/>
          <w:sz w:val="32"/>
          <w:szCs w:val="32"/>
        </w:rPr>
        <w:t xml:space="preserve">月 </w:t>
      </w:r>
      <w:r>
        <w:rPr>
          <w:rFonts w:hint="eastAsia" w:eastAsia="仿宋_GB2312"/>
          <w:sz w:val="32"/>
          <w:szCs w:val="32"/>
          <w:lang w:val="en-US" w:eastAsia="zh-CN"/>
        </w:rPr>
        <w:t>28</w:t>
      </w:r>
      <w:r>
        <w:rPr>
          <w:rFonts w:hint="eastAsia" w:eastAsia="仿宋_GB2312"/>
          <w:sz w:val="32"/>
          <w:szCs w:val="32"/>
        </w:rPr>
        <w:t>日</w:t>
      </w:r>
    </w:p>
    <w:p>
      <w:pPr>
        <w:spacing w:line="600" w:lineRule="exact"/>
        <w:ind w:firstLine="420" w:firstLineChars="200"/>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3325F"/>
    <w:multiLevelType w:val="singleLevel"/>
    <w:tmpl w:val="DE43325F"/>
    <w:lvl w:ilvl="0" w:tentative="0">
      <w:start w:val="1"/>
      <w:numFmt w:val="decimal"/>
      <w:suff w:val="nothing"/>
      <w:lvlText w:val="%1、"/>
      <w:lvlJc w:val="left"/>
    </w:lvl>
  </w:abstractNum>
  <w:abstractNum w:abstractNumId="1">
    <w:nsid w:val="519C5FBA"/>
    <w:multiLevelType w:val="singleLevel"/>
    <w:tmpl w:val="519C5F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62"/>
    <w:rsid w:val="002E6807"/>
    <w:rsid w:val="00336928"/>
    <w:rsid w:val="00336C44"/>
    <w:rsid w:val="00347F9B"/>
    <w:rsid w:val="003C2BBB"/>
    <w:rsid w:val="003E7E8C"/>
    <w:rsid w:val="004A7F48"/>
    <w:rsid w:val="00503E76"/>
    <w:rsid w:val="0056201E"/>
    <w:rsid w:val="00581FCD"/>
    <w:rsid w:val="006D014D"/>
    <w:rsid w:val="00791BD9"/>
    <w:rsid w:val="00800A4E"/>
    <w:rsid w:val="0083763D"/>
    <w:rsid w:val="00873E88"/>
    <w:rsid w:val="008A1DA3"/>
    <w:rsid w:val="008A464A"/>
    <w:rsid w:val="00956362"/>
    <w:rsid w:val="00A626F9"/>
    <w:rsid w:val="00C06221"/>
    <w:rsid w:val="00D9303D"/>
    <w:rsid w:val="00E13133"/>
    <w:rsid w:val="00E45E3F"/>
    <w:rsid w:val="00F93C78"/>
    <w:rsid w:val="01CD3796"/>
    <w:rsid w:val="10F87080"/>
    <w:rsid w:val="280177AF"/>
    <w:rsid w:val="4089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 w:type="character" w:customStyle="1" w:styleId="10">
    <w:name w:val="标题 2 Char"/>
    <w:basedOn w:val="5"/>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245</Words>
  <Characters>1399</Characters>
  <Lines>11</Lines>
  <Paragraphs>3</Paragraphs>
  <TotalTime>9</TotalTime>
  <ScaleCrop>false</ScaleCrop>
  <LinksUpToDate>false</LinksUpToDate>
  <CharactersWithSpaces>1641</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2016-10-13T05:18:00Z</dcterms:created>
  <dc:creator>User</dc:creator>
  <cp:lastModifiedBy>夜雨1413532052</cp:lastModifiedBy>
  <cp:lastPrinted>2018-07-31T07:48:00Z</cp:lastPrinted>
  <dcterms:modified xsi:type="dcterms:W3CDTF">2018-12-01T02:47:31Z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