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2017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紫溪市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镇人民政府部门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整体支出绩效评价报告</w:t>
      </w:r>
    </w:p>
    <w:p>
      <w:pPr>
        <w:adjustRightInd w:val="0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adjustRightInd w:val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一、部门概况</w:t>
      </w:r>
    </w:p>
    <w:p>
      <w:pPr>
        <w:numPr>
          <w:ilvl w:val="0"/>
          <w:numId w:val="0"/>
        </w:numPr>
        <w:adjustRightInd w:val="0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（一）部门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基本情况</w:t>
      </w:r>
    </w:p>
    <w:p>
      <w:pPr>
        <w:adjustRightInd w:val="0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紫溪市镇政府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内设党委、政府、人大、政协四大办公室。主要职能：(1)保证党的路线、方针、政策的坚决贯彻执行。组织指导好各业生产，促进本区域经济发展。（2）制定并组织实施村镇建设规划，部署重点工程建设，道路建设及公共设施，水利设施的管理，负责土地、林木、水等自然资源和生态环境的保护，做好护林防火工作。（3）负责本行政区域内的民政、计划生育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instrText xml:space="preserve"> HYPERLINK "https://www.baidu.com/s?wd=%E6%96%87%E5%8C%96%E6%95%99%E8%82%B2&amp;tn=44039180_cpr&amp;fenlei=mv6quAkxTZn0IZRqIHckPjm4nH00T1d9ryDkmWn3PWbYnj7bPvwh0ZwV5Hcvrjm3rH6sPfKWUMw85HfYnjn4nH6sgvPsT6KdThsqpZwYTjCEQLGCpyw9Uz4Bmy-bIi4WUvYETgN-TLwGUv3EPjDYnH0dPjcv" \t "_blank" </w:instrTex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文化教育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、卫生、体育等社会公益事业的综合性工作，维护一切经济单位和个人的正当经济权益，取缔非法经济活动，调解和处理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instrText xml:space="preserve"> HYPERLINK "https://www.baidu.com/s?wd=%E6%B0%91%E4%BA%8B%E7%BA%A0%E7%BA%B7&amp;tn=44039180_cpr&amp;fenlei=mv6quAkxTZn0IZRqIHckPjm4nH00T1d9ryDkmWn3PWbYnj7bPvwh0ZwV5Hcvrjm3rH6sPfKWUMw85HfYnjn4nH6sgvPsT6KdThsqpZwYTjCEQLGCpyw9Uz4Bmy-bIi4WUvYETgN-TLwGUv3EPjDYnH0dPjcv" \t "_blank" </w:instrTex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民事纠纷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，打击刑事犯罪维护社会稳定。（4）按计划组织本级财政收入和地方税的征收，完成国家财政计划，不断培植税源，管好财政资金，增强财政实力。（5）抓好精神文明建设，丰富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instrText xml:space="preserve"> HYPERLINK "https://www.baidu.com/s?wd=%E7%BE%A4%E4%BC%97%E6%96%87%E5%8C%96&amp;tn=44039180_cpr&amp;fenlei=mv6quAkxTZn0IZRqIHckPjm4nH00T1d9ryDkmWn3PWbYnj7bPvwh0ZwV5Hcvrjm3rH6sPfKWUMw85HfYnjn4nH6sgvPsT6KdThsqpZwYTjCEQLGCpyw9Uz4Bmy-bIi4WUvYETgN-TLwGUv3EPjDYnH0dPjcv" \t "_blank" </w:instrTex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群众文化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生活，树立社会主义新风尚。（6）完成上级政府交办的其它事项。</w:t>
      </w:r>
    </w:p>
    <w:p>
      <w:pPr>
        <w:adjustRightInd w:val="0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（二）人员构成情况</w:t>
      </w:r>
    </w:p>
    <w:p>
      <w:pPr>
        <w:adjustRightInd w:val="0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在职人员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82人。 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部门整体支出规模、使用方向和主要内容、涉及范围等。</w:t>
      </w:r>
    </w:p>
    <w:p>
      <w:pPr>
        <w:ind w:left="160" w:leftChars="76" w:firstLine="434" w:firstLineChars="15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sz w:val="28"/>
          <w:szCs w:val="28"/>
        </w:rPr>
        <w:t>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669</w:t>
      </w:r>
      <w:r>
        <w:rPr>
          <w:rFonts w:hint="eastAsia" w:ascii="仿宋_GB2312" w:eastAsia="仿宋_GB2312"/>
          <w:sz w:val="28"/>
          <w:szCs w:val="28"/>
        </w:rPr>
        <w:t>万元，占总支出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54</w:t>
      </w:r>
      <w:r>
        <w:rPr>
          <w:rFonts w:hint="eastAsia" w:ascii="仿宋_GB2312" w:eastAsia="仿宋_GB2312"/>
          <w:sz w:val="28"/>
          <w:szCs w:val="28"/>
        </w:rPr>
        <w:t>%，其中：工资福利支出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370</w:t>
      </w:r>
      <w:r>
        <w:rPr>
          <w:rFonts w:hint="eastAsia" w:ascii="仿宋_GB2312" w:eastAsia="仿宋_GB2312"/>
          <w:sz w:val="28"/>
          <w:szCs w:val="28"/>
        </w:rPr>
        <w:t>万元，对个人和家庭的补助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89.3</w:t>
      </w:r>
      <w:r>
        <w:rPr>
          <w:rFonts w:hint="eastAsia" w:ascii="仿宋_GB2312" w:eastAsia="仿宋_GB2312"/>
          <w:sz w:val="28"/>
          <w:szCs w:val="28"/>
        </w:rPr>
        <w:t>元，商品和服务支出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209.7</w:t>
      </w:r>
      <w:r>
        <w:rPr>
          <w:rFonts w:hint="eastAsia" w:ascii="仿宋_GB2312" w:eastAsia="仿宋_GB2312"/>
          <w:sz w:val="28"/>
          <w:szCs w:val="28"/>
        </w:rPr>
        <w:t>万元；项目支出决算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576</w:t>
      </w:r>
      <w:r>
        <w:rPr>
          <w:rFonts w:hint="eastAsia" w:ascii="仿宋_GB2312" w:eastAsia="仿宋_GB2312"/>
          <w:sz w:val="28"/>
          <w:szCs w:val="28"/>
        </w:rPr>
        <w:t>万元，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46</w:t>
      </w:r>
      <w:r>
        <w:rPr>
          <w:rFonts w:hint="eastAsia" w:ascii="仿宋_GB2312" w:eastAsia="仿宋_GB2312"/>
          <w:sz w:val="28"/>
          <w:szCs w:val="28"/>
        </w:rPr>
        <w:t>占%，主要用于发村干部工资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村级运转经费</w:t>
      </w:r>
      <w:r>
        <w:rPr>
          <w:rFonts w:hint="eastAsia" w:ascii="仿宋_GB2312" w:eastAsia="仿宋_GB2312"/>
          <w:sz w:val="28"/>
          <w:szCs w:val="28"/>
          <w:lang w:eastAsia="zh-CN"/>
        </w:rPr>
        <w:t>及村级工作经费</w:t>
      </w:r>
      <w:r>
        <w:rPr>
          <w:rFonts w:hint="eastAsia" w:ascii="仿宋_GB2312" w:eastAsia="仿宋_GB2312"/>
          <w:sz w:val="28"/>
          <w:szCs w:val="28"/>
        </w:rPr>
        <w:t>等。</w:t>
      </w:r>
    </w:p>
    <w:p>
      <w:pPr>
        <w:ind w:firstLine="56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年“三公经费”财政拨款支出共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14.41</w:t>
      </w:r>
      <w:r>
        <w:rPr>
          <w:rFonts w:hint="eastAsia" w:ascii="仿宋_GB2312" w:eastAsia="仿宋_GB2312"/>
          <w:sz w:val="28"/>
          <w:szCs w:val="28"/>
        </w:rPr>
        <w:t>万元，具体情况如下：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因公出国（境）费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支出；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公务用车购置及运行维护费支出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2.75</w:t>
      </w:r>
      <w:r>
        <w:rPr>
          <w:rFonts w:hint="eastAsia" w:ascii="仿宋_GB2312" w:eastAsia="仿宋_GB2312"/>
          <w:sz w:val="28"/>
          <w:szCs w:val="28"/>
        </w:rPr>
        <w:t>万元，具体是：公务车保有量1辆，全年运行维护费支出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2.75</w:t>
      </w:r>
      <w:r>
        <w:rPr>
          <w:rFonts w:hint="eastAsia" w:ascii="仿宋_GB2312" w:eastAsia="仿宋_GB2312"/>
          <w:sz w:val="28"/>
          <w:szCs w:val="28"/>
        </w:rPr>
        <w:t>万元。公务接待费支出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10.94</w:t>
      </w:r>
      <w:r>
        <w:rPr>
          <w:rFonts w:hint="eastAsia" w:ascii="仿宋_GB2312" w:eastAsia="仿宋_GB2312"/>
          <w:sz w:val="28"/>
          <w:szCs w:val="28"/>
        </w:rPr>
        <w:t>万元，主要用招待上级各单位及下级会议开支费。</w:t>
      </w:r>
    </w:p>
    <w:p>
      <w:pPr>
        <w:adjustRightInd w:val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三、部门整体支出管理情况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righ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我们严格预算管理，切实按照县委出台的五项管理制度要求，坚持执行财经和财务制度，进一步明确了财政预算资金审批手续和拨付程序、机关行政经费审批手续和报销程序，加强了财务管理，规范了收支行为，保证了财务管理工作规范有序进行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rightChars="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部门整体支出绩效情况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2017年，根据我镇年初工作规划和重点工作，围绕县委、县政府的工作部署，积极履行职责，强化管理，较好地完成了工作目标，同时加强预算收支的管理，建立健全内部管理制度，严格内部管理流程，部门整体支出管理得到了提升。</w:t>
      </w:r>
      <w:r>
        <w:rPr>
          <w:rFonts w:hint="eastAsia"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年基本按县财政的批复执行预算，“三公”经费等一般性支出严格控制在预算标准内；加快预算执行进度；资金使用效率有了提升；强化专项资金管理等制度建设；财务管理水平稳步提高。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rightChars="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整体支出综合评价及结论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我镇严格按照国家的相关财务管理制度规定，财务制度健全、会计核算规范，依照计划管理使用，部门整体支出对保障我镇工作的高效运行发挥了重要作用，为我镇的经济建设及争创文明县城、创国卫添砖加瓦。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rightChars="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存在的问题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rightChars="0" w:firstLine="560" w:firstLineChars="2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会计核算中有些科目未建立明细核算，查找账目比较繁琐，某些费用支出稍欠严谨。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rightChars="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改进措施和有关建议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进一步加强内部预算管理意识，严格按照预算编制的相关制度和要求进行预算编制；全面编制预算项目，优先保障固定性的费用支出项目，进一步提高预算编制的科学性、严谨性和可控性。提高预算的合理性和准确性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righ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adjustRightInd w:val="0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adjustRightInd w:val="0"/>
        <w:ind w:right="640" w:firstLine="560" w:firstLineChars="20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东安县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紫溪市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镇人民政府</w:t>
      </w: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                         2017年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</w:t>
      </w:r>
    </w:p>
    <w:p>
      <w:pPr>
        <w:spacing w:after="156" w:afterLines="50" w:line="56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</w:pPr>
    </w:p>
    <w:p>
      <w:pPr>
        <w:spacing w:after="156" w:afterLines="50" w:line="56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</w:pPr>
    </w:p>
    <w:p>
      <w:pPr>
        <w:spacing w:after="156" w:afterLines="50" w:line="56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</w:pPr>
    </w:p>
    <w:p>
      <w:pPr>
        <w:spacing w:after="156" w:afterLines="50" w:line="56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</w:pPr>
    </w:p>
    <w:p>
      <w:pPr>
        <w:spacing w:after="156" w:afterLines="50" w:line="56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</w:pPr>
    </w:p>
    <w:p>
      <w:pPr>
        <w:spacing w:after="156" w:afterLines="50" w:line="56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</w:pPr>
    </w:p>
    <w:p>
      <w:pPr>
        <w:spacing w:after="156" w:afterLines="50" w:line="56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634C"/>
    <w:multiLevelType w:val="singleLevel"/>
    <w:tmpl w:val="5A06634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1760F"/>
    <w:rsid w:val="191139B5"/>
    <w:rsid w:val="783176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3F88B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2018-12-14T04:43:00Z</dcterms:created>
  <dc:creator>daww</dc:creator>
  <cp:lastModifiedBy>daww</cp:lastModifiedBy>
  <dcterms:modified xsi:type="dcterms:W3CDTF">2018-12-14T05:37:32Z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