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44"/>
          <w:szCs w:val="44"/>
        </w:rPr>
      </w:pPr>
      <w:r>
        <w:rPr>
          <w:rFonts w:hint="eastAsia" w:eastAsia="方正小标宋_GBK"/>
          <w:sz w:val="44"/>
          <w:szCs w:val="44"/>
        </w:rPr>
        <w:t>201</w:t>
      </w:r>
      <w:r>
        <w:rPr>
          <w:rFonts w:hint="eastAsia" w:eastAsia="方正小标宋_GBK"/>
          <w:sz w:val="44"/>
          <w:szCs w:val="44"/>
          <w:lang w:val="en-US" w:eastAsia="zh-CN"/>
        </w:rPr>
        <w:t>7</w:t>
      </w:r>
      <w:r>
        <w:rPr>
          <w:rFonts w:hint="eastAsia" w:eastAsia="方正小标宋_GBK"/>
          <w:sz w:val="44"/>
          <w:szCs w:val="44"/>
        </w:rPr>
        <w:t>年度</w:t>
      </w:r>
      <w:r>
        <w:rPr>
          <w:rFonts w:hint="eastAsia" w:eastAsia="方正小标宋_GBK"/>
          <w:sz w:val="44"/>
          <w:szCs w:val="44"/>
          <w:lang w:eastAsia="zh-CN"/>
        </w:rPr>
        <w:t>东安经济开发区</w:t>
      </w:r>
      <w:r>
        <w:rPr>
          <w:rFonts w:hint="eastAsia" w:eastAsia="方正小标宋_GBK"/>
          <w:sz w:val="44"/>
          <w:szCs w:val="44"/>
        </w:rPr>
        <w:t>部门整体</w:t>
      </w:r>
      <w:r>
        <w:rPr>
          <w:rFonts w:eastAsia="方正小标宋_GBK"/>
          <w:sz w:val="44"/>
          <w:szCs w:val="44"/>
        </w:rPr>
        <w:t>支出</w:t>
      </w:r>
    </w:p>
    <w:p>
      <w:pPr>
        <w:adjustRightInd w:val="0"/>
        <w:spacing w:line="600" w:lineRule="exact"/>
        <w:jc w:val="center"/>
        <w:rPr>
          <w:rFonts w:eastAsia="方正小标宋_GBK"/>
          <w:sz w:val="44"/>
          <w:szCs w:val="44"/>
        </w:rPr>
      </w:pPr>
      <w:r>
        <w:rPr>
          <w:rFonts w:eastAsia="方正小标宋_GBK"/>
          <w:sz w:val="44"/>
          <w:szCs w:val="44"/>
        </w:rPr>
        <w:t>绩效</w:t>
      </w:r>
      <w:r>
        <w:rPr>
          <w:rFonts w:hint="eastAsia" w:eastAsia="方正小标宋_GBK"/>
          <w:sz w:val="44"/>
          <w:szCs w:val="44"/>
        </w:rPr>
        <w:t>评价</w:t>
      </w:r>
      <w:r>
        <w:rPr>
          <w:rFonts w:eastAsia="方正小标宋_GBK"/>
          <w:sz w:val="44"/>
          <w:szCs w:val="44"/>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机构设置：东安经济开发区管理委员会下设办公室、招商合作局、产业发展局及企业服务局。</w:t>
      </w:r>
    </w:p>
    <w:p>
      <w:pPr>
        <w:ind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主要职能：“135”标准厂房建设及招商引资工作；白牙市工业园污水处理厂建设工作；完成县委、县政府交办的其他工作任务。</w:t>
      </w:r>
    </w:p>
    <w:p>
      <w:pPr>
        <w:numPr>
          <w:ilvl w:val="0"/>
          <w:numId w:val="0"/>
        </w:num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现有在编人员47人，其中：副处级领导2人，正科7人，副科5人，其他工作人员33人。</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ind w:firstLine="800" w:firstLineChars="25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年支出</w:t>
      </w:r>
      <w:r>
        <w:rPr>
          <w:rFonts w:hint="eastAsia" w:ascii="仿宋_GB2312" w:eastAsia="仿宋_GB2312"/>
          <w:sz w:val="32"/>
          <w:szCs w:val="32"/>
          <w:lang w:eastAsia="zh-CN"/>
        </w:rPr>
        <w:t>预</w:t>
      </w:r>
      <w:r>
        <w:rPr>
          <w:rFonts w:hint="eastAsia" w:ascii="仿宋_GB2312" w:eastAsia="仿宋_GB2312"/>
          <w:sz w:val="32"/>
          <w:szCs w:val="32"/>
        </w:rPr>
        <w:t>算</w:t>
      </w:r>
      <w:r>
        <w:rPr>
          <w:rFonts w:hint="eastAsia" w:ascii="仿宋_GB2312" w:eastAsia="仿宋_GB2312"/>
          <w:sz w:val="32"/>
          <w:szCs w:val="32"/>
          <w:lang w:val="en-US" w:eastAsia="zh-CN"/>
        </w:rPr>
        <w:t>1420</w:t>
      </w:r>
      <w:r>
        <w:rPr>
          <w:rFonts w:hint="eastAsia" w:ascii="仿宋_GB2312" w:eastAsia="仿宋_GB2312"/>
          <w:sz w:val="32"/>
          <w:szCs w:val="32"/>
        </w:rPr>
        <w:t>万元，财政拨款支出</w:t>
      </w:r>
      <w:r>
        <w:rPr>
          <w:rFonts w:hint="eastAsia" w:ascii="仿宋_GB2312" w:eastAsia="仿宋_GB2312"/>
          <w:sz w:val="32"/>
          <w:szCs w:val="32"/>
          <w:lang w:val="en-US" w:eastAsia="zh-CN"/>
        </w:rPr>
        <w:t>1420</w:t>
      </w:r>
      <w:r>
        <w:rPr>
          <w:rFonts w:hint="eastAsia" w:ascii="仿宋_GB2312" w:eastAsia="仿宋_GB2312"/>
          <w:sz w:val="32"/>
          <w:szCs w:val="32"/>
        </w:rPr>
        <w:t>万元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282.75%，其中一般公共服务支出为371万元，项目支出为1049万元。</w:t>
      </w:r>
    </w:p>
    <w:p>
      <w:pPr>
        <w:adjustRightInd w:val="0"/>
        <w:snapToGrid w:val="0"/>
        <w:spacing w:line="600" w:lineRule="exact"/>
        <w:ind w:firstLine="643" w:firstLineChars="200"/>
        <w:rPr>
          <w:rFonts w:hint="eastAsia" w:ascii="仿宋_GB2312" w:eastAsia="仿宋_GB2312"/>
          <w:sz w:val="32"/>
          <w:szCs w:val="32"/>
          <w:lang w:val="en-US" w:eastAsia="zh-CN"/>
        </w:rPr>
      </w:pPr>
      <w:r>
        <w:rPr>
          <w:rFonts w:hint="eastAsia" w:ascii="楷体_GB2312" w:eastAsia="楷体_GB2312"/>
          <w:b/>
          <w:sz w:val="32"/>
          <w:szCs w:val="32"/>
        </w:rPr>
        <w:t>（一）基本支出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年财政拨款支出按用途划，</w:t>
      </w:r>
      <w:r>
        <w:rPr>
          <w:rFonts w:hint="eastAsia" w:ascii="仿宋_GB2312" w:eastAsia="仿宋_GB2312"/>
          <w:sz w:val="32"/>
          <w:szCs w:val="32"/>
          <w:lang w:eastAsia="zh-CN"/>
        </w:rPr>
        <w:t>一般公共服务支出包括</w:t>
      </w:r>
      <w:r>
        <w:rPr>
          <w:rFonts w:hint="eastAsia" w:ascii="仿宋_GB2312" w:eastAsia="仿宋_GB2312"/>
          <w:sz w:val="32"/>
          <w:szCs w:val="32"/>
        </w:rPr>
        <w:t>：</w:t>
      </w:r>
      <w:r>
        <w:rPr>
          <w:rFonts w:hint="eastAsia" w:ascii="仿宋_GB2312" w:eastAsia="仿宋_GB2312"/>
          <w:sz w:val="32"/>
          <w:szCs w:val="32"/>
          <w:lang w:eastAsia="zh-CN"/>
        </w:rPr>
        <w:t>工资福利支出</w:t>
      </w:r>
      <w:r>
        <w:rPr>
          <w:rFonts w:hint="eastAsia" w:ascii="仿宋_GB2312" w:eastAsia="仿宋_GB2312"/>
          <w:sz w:val="32"/>
          <w:szCs w:val="32"/>
          <w:lang w:val="en-US" w:eastAsia="zh-CN"/>
        </w:rPr>
        <w:t>292.17万元，商品和服务支出50.17万元，对个人和家庭的补助28.66万元。</w:t>
      </w:r>
    </w:p>
    <w:p>
      <w:pPr>
        <w:numPr>
          <w:ilvl w:val="0"/>
          <w:numId w:val="1"/>
        </w:numPr>
        <w:ind w:firstLine="643" w:firstLineChars="200"/>
        <w:rPr>
          <w:rFonts w:hint="eastAsia" w:ascii="楷体_GB2312" w:eastAsia="楷体_GB2312"/>
          <w:b/>
          <w:sz w:val="32"/>
          <w:szCs w:val="32"/>
          <w:lang w:eastAsia="zh-CN"/>
        </w:rPr>
      </w:pPr>
      <w:r>
        <w:rPr>
          <w:rFonts w:hint="eastAsia" w:ascii="楷体_GB2312" w:eastAsia="楷体_GB2312"/>
          <w:b/>
          <w:sz w:val="32"/>
          <w:szCs w:val="32"/>
          <w:lang w:eastAsia="zh-CN"/>
        </w:rPr>
        <w:t>“三公”经费支出</w:t>
      </w:r>
    </w:p>
    <w:p>
      <w:pPr>
        <w:ind w:firstLine="643" w:firstLineChars="200"/>
        <w:rPr>
          <w:rFonts w:hint="eastAsia" w:ascii="仿宋_GB2312" w:eastAsia="仿宋_GB2312"/>
          <w:sz w:val="32"/>
          <w:szCs w:val="32"/>
        </w:rPr>
      </w:pPr>
      <w:r>
        <w:rPr>
          <w:rFonts w:hint="eastAsia" w:ascii="楷体_GB2312" w:eastAsia="楷体_GB2312"/>
          <w:b/>
          <w:sz w:val="32"/>
          <w:szCs w:val="32"/>
          <w:lang w:val="en-US" w:eastAsia="zh-CN"/>
        </w:rPr>
        <w:t xml:space="preserve"> </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年“三公经费”财政拨款支出共</w:t>
      </w:r>
      <w:r>
        <w:rPr>
          <w:rFonts w:hint="eastAsia" w:ascii="仿宋_GB2312" w:eastAsia="仿宋_GB2312"/>
          <w:sz w:val="32"/>
          <w:szCs w:val="32"/>
          <w:lang w:val="en-US" w:eastAsia="zh-CN"/>
        </w:rPr>
        <w:t>3.86</w:t>
      </w:r>
      <w:r>
        <w:rPr>
          <w:rFonts w:hint="eastAsia" w:ascii="仿宋_GB2312" w:eastAsia="仿宋_GB2312"/>
          <w:sz w:val="32"/>
          <w:szCs w:val="32"/>
        </w:rPr>
        <w:t>万元，与上年决算数同比减</w:t>
      </w:r>
      <w:r>
        <w:rPr>
          <w:rFonts w:hint="eastAsia" w:ascii="仿宋_GB2312" w:eastAsia="仿宋_GB2312"/>
          <w:sz w:val="32"/>
          <w:szCs w:val="32"/>
          <w:lang w:eastAsia="zh-CN"/>
        </w:rPr>
        <w:t>少</w:t>
      </w:r>
      <w:r>
        <w:rPr>
          <w:rFonts w:hint="eastAsia" w:ascii="仿宋_GB2312" w:eastAsia="仿宋_GB2312"/>
          <w:sz w:val="32"/>
          <w:szCs w:val="32"/>
          <w:lang w:val="en-US" w:eastAsia="zh-CN"/>
        </w:rPr>
        <w:t>10.71</w:t>
      </w:r>
      <w:r>
        <w:rPr>
          <w:rFonts w:hint="eastAsia" w:ascii="仿宋_GB2312" w:eastAsia="仿宋_GB2312"/>
          <w:sz w:val="32"/>
          <w:szCs w:val="32"/>
        </w:rPr>
        <w:t>万元，</w:t>
      </w:r>
      <w:r>
        <w:rPr>
          <w:rFonts w:hint="eastAsia" w:ascii="仿宋_GB2312" w:eastAsia="仿宋_GB2312"/>
          <w:sz w:val="32"/>
          <w:szCs w:val="32"/>
          <w:lang w:eastAsia="zh-CN"/>
        </w:rPr>
        <w:t>公务接待费比上年减少了</w:t>
      </w:r>
      <w:r>
        <w:rPr>
          <w:rFonts w:hint="eastAsia" w:ascii="仿宋_GB2312" w:eastAsia="仿宋_GB2312"/>
          <w:sz w:val="32"/>
          <w:szCs w:val="32"/>
          <w:lang w:val="en-US" w:eastAsia="zh-CN"/>
        </w:rPr>
        <w:t>0.21万元，公务用车购置及运行维护费支出为零。</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因公出国（境</w:t>
      </w:r>
      <w:r>
        <w:rPr>
          <w:rFonts w:hint="eastAsia" w:ascii="仿宋_GB2312" w:eastAsia="仿宋_GB2312"/>
          <w:sz w:val="32"/>
          <w:szCs w:val="32"/>
          <w:lang w:eastAsia="zh-CN"/>
        </w:rPr>
        <w:t>）费无</w:t>
      </w:r>
      <w:r>
        <w:rPr>
          <w:rFonts w:hint="eastAsia" w:ascii="仿宋_GB2312" w:eastAsia="仿宋_GB2312"/>
          <w:sz w:val="32"/>
          <w:szCs w:val="32"/>
        </w:rPr>
        <w:t>支出；</w:t>
      </w:r>
    </w:p>
    <w:p>
      <w:pPr>
        <w:ind w:left="19" w:leftChars="9" w:firstLine="617" w:firstLineChars="193"/>
        <w:rPr>
          <w:rFonts w:hint="eastAsia"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公务用车购置及运行维护费支出</w:t>
      </w:r>
      <w:r>
        <w:rPr>
          <w:rFonts w:hint="eastAsia" w:ascii="仿宋_GB2312" w:eastAsia="仿宋_GB2312"/>
          <w:sz w:val="32"/>
          <w:szCs w:val="32"/>
          <w:lang w:eastAsia="zh-CN"/>
        </w:rPr>
        <w:t>为零</w:t>
      </w:r>
      <w:r>
        <w:rPr>
          <w:rFonts w:hint="eastAsia" w:ascii="仿宋_GB2312" w:eastAsia="仿宋_GB2312"/>
          <w:sz w:val="32"/>
          <w:szCs w:val="32"/>
        </w:rPr>
        <w:t>。</w:t>
      </w:r>
      <w:r>
        <w:rPr>
          <w:rFonts w:hint="eastAsia" w:ascii="仿宋_GB2312" w:eastAsia="仿宋_GB2312"/>
          <w:sz w:val="32"/>
          <w:szCs w:val="32"/>
          <w:lang w:val="en-US" w:eastAsia="zh-CN"/>
        </w:rPr>
        <w:t>2017前1月1日前开发区将公车已上交县公车改革办，无公务用车。</w:t>
      </w:r>
    </w:p>
    <w:p>
      <w:pPr>
        <w:ind w:firstLine="640" w:firstLineChars="200"/>
        <w:rPr>
          <w:rFonts w:hint="eastAsia" w:ascii="楷体_GB2312" w:eastAsia="楷体_GB2312"/>
          <w:b/>
          <w:sz w:val="32"/>
          <w:szCs w:val="32"/>
          <w:lang w:val="en-US" w:eastAsia="zh-CN"/>
        </w:rPr>
      </w:pPr>
      <w:r>
        <w:rPr>
          <w:rFonts w:hint="eastAsia" w:ascii="仿宋_GB2312" w:eastAsia="仿宋_GB2312"/>
          <w:sz w:val="32"/>
          <w:szCs w:val="32"/>
        </w:rPr>
        <w:t>3、公务接待费支出</w:t>
      </w:r>
      <w:r>
        <w:rPr>
          <w:rFonts w:hint="eastAsia" w:ascii="仿宋_GB2312" w:eastAsia="仿宋_GB2312"/>
          <w:sz w:val="32"/>
          <w:szCs w:val="32"/>
          <w:lang w:val="en-US" w:eastAsia="zh-CN"/>
        </w:rPr>
        <w:t>4.07</w:t>
      </w:r>
      <w:r>
        <w:rPr>
          <w:rFonts w:hint="eastAsia" w:ascii="仿宋_GB2312" w:eastAsia="仿宋_GB2312"/>
          <w:sz w:val="32"/>
          <w:szCs w:val="32"/>
        </w:rPr>
        <w:t>万元，同比增减</w:t>
      </w:r>
      <w:r>
        <w:rPr>
          <w:rFonts w:hint="eastAsia" w:ascii="仿宋_GB2312" w:eastAsia="仿宋_GB2312"/>
          <w:sz w:val="32"/>
          <w:szCs w:val="32"/>
          <w:lang w:val="en-US" w:eastAsia="zh-CN"/>
        </w:rPr>
        <w:t>0.21</w:t>
      </w:r>
      <w:r>
        <w:rPr>
          <w:rFonts w:hint="eastAsia" w:ascii="仿宋_GB2312" w:eastAsia="仿宋_GB2312"/>
          <w:sz w:val="32"/>
          <w:szCs w:val="32"/>
        </w:rPr>
        <w:t>万元，</w:t>
      </w:r>
      <w:r>
        <w:rPr>
          <w:rFonts w:hint="eastAsia" w:ascii="仿宋_GB2312" w:eastAsia="仿宋_GB2312"/>
          <w:sz w:val="32"/>
          <w:szCs w:val="32"/>
          <w:lang w:eastAsia="zh-CN"/>
        </w:rPr>
        <w:t>主要原因是开发区对公务接待费开支进行了控制。</w:t>
      </w:r>
    </w:p>
    <w:p>
      <w:pPr>
        <w:numPr>
          <w:ilvl w:val="0"/>
          <w:numId w:val="1"/>
        </w:numPr>
        <w:ind w:firstLine="643" w:firstLineChars="200"/>
        <w:rPr>
          <w:rFonts w:ascii="楷体_GB2312" w:eastAsia="楷体_GB2312"/>
          <w:b/>
          <w:sz w:val="32"/>
          <w:szCs w:val="32"/>
        </w:rPr>
      </w:pPr>
      <w:r>
        <w:rPr>
          <w:rFonts w:hint="eastAsia" w:ascii="楷体_GB2312" w:eastAsia="楷体_GB2312"/>
          <w:b/>
          <w:sz w:val="32"/>
          <w:szCs w:val="32"/>
        </w:rPr>
        <w:t>项目支出</w:t>
      </w:r>
    </w:p>
    <w:p>
      <w:pPr>
        <w:adjustRightInd w:val="0"/>
        <w:snapToGrid w:val="0"/>
        <w:spacing w:line="600" w:lineRule="exact"/>
        <w:ind w:firstLine="640" w:firstLineChars="200"/>
        <w:rPr>
          <w:rFonts w:eastAsia="仿宋_GB2312"/>
          <w:sz w:val="32"/>
          <w:szCs w:val="32"/>
        </w:rPr>
      </w:pPr>
      <w:r>
        <w:rPr>
          <w:rFonts w:hint="eastAsia" w:ascii="仿宋_GB2312" w:eastAsia="仿宋_GB2312"/>
          <w:sz w:val="32"/>
          <w:szCs w:val="32"/>
          <w:lang w:val="en-US" w:eastAsia="zh-CN"/>
        </w:rPr>
        <w:t>项目支出包括：用于专用材料的支出为1049万元。</w:t>
      </w:r>
    </w:p>
    <w:p>
      <w:pPr>
        <w:numPr>
          <w:ilvl w:val="0"/>
          <w:numId w:val="2"/>
        </w:numPr>
        <w:adjustRightInd w:val="0"/>
        <w:snapToGrid w:val="0"/>
        <w:spacing w:line="600" w:lineRule="exact"/>
        <w:ind w:firstLine="640" w:firstLineChars="200"/>
        <w:rPr>
          <w:rFonts w:hint="eastAsia" w:eastAsia="黑体"/>
          <w:sz w:val="32"/>
          <w:szCs w:val="32"/>
        </w:rPr>
      </w:pPr>
      <w:r>
        <w:rPr>
          <w:rFonts w:hint="eastAsia" w:eastAsia="黑体"/>
          <w:sz w:val="32"/>
          <w:szCs w:val="32"/>
        </w:rPr>
        <w:t>部门整体支出管理情况</w:t>
      </w:r>
    </w:p>
    <w:p>
      <w:pPr>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（一）预决算编制情况。 </w:t>
      </w:r>
      <w:r>
        <w:rPr>
          <w:rFonts w:hint="eastAsia" w:ascii="仿宋_GB2312" w:eastAsia="仿宋_GB2312"/>
          <w:b/>
          <w:bCs/>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严格按照县级</w:t>
      </w:r>
      <w:r>
        <w:rPr>
          <w:rFonts w:hint="eastAsia" w:ascii="仿宋_GB2312" w:eastAsia="仿宋_GB2312"/>
          <w:sz w:val="32"/>
          <w:szCs w:val="32"/>
          <w:lang w:eastAsia="zh-CN"/>
        </w:rPr>
        <w:t>财政部门</w:t>
      </w:r>
      <w:r>
        <w:rPr>
          <w:rFonts w:hint="eastAsia" w:ascii="仿宋_GB2312" w:eastAsia="仿宋_GB2312"/>
          <w:sz w:val="32"/>
          <w:szCs w:val="32"/>
        </w:rPr>
        <w:t>预算编制通知和有关要求，按时完成</w:t>
      </w:r>
      <w:r>
        <w:rPr>
          <w:rFonts w:hint="eastAsia" w:ascii="仿宋_GB2312" w:eastAsia="仿宋_GB2312"/>
          <w:sz w:val="32"/>
          <w:szCs w:val="32"/>
          <w:lang w:eastAsia="zh-CN"/>
        </w:rPr>
        <w:t>预算</w:t>
      </w:r>
      <w:r>
        <w:rPr>
          <w:rFonts w:hint="eastAsia" w:ascii="仿宋_GB2312" w:eastAsia="仿宋_GB2312"/>
          <w:sz w:val="32"/>
          <w:szCs w:val="32"/>
        </w:rPr>
        <w:t>报送工作，按时完成201</w:t>
      </w:r>
      <w:r>
        <w:rPr>
          <w:rFonts w:hint="eastAsia" w:ascii="仿宋_GB2312" w:eastAsia="仿宋_GB2312"/>
          <w:sz w:val="32"/>
          <w:szCs w:val="32"/>
          <w:lang w:val="en-US" w:eastAsia="zh-CN"/>
        </w:rPr>
        <w:t>7</w:t>
      </w:r>
      <w:r>
        <w:rPr>
          <w:rFonts w:hint="eastAsia" w:ascii="仿宋_GB2312" w:eastAsia="仿宋_GB2312"/>
          <w:sz w:val="32"/>
          <w:szCs w:val="32"/>
        </w:rPr>
        <w:t>年预算编制工作，并按时提交部门预算草案，预算编制全面、科学。201</w:t>
      </w:r>
      <w:r>
        <w:rPr>
          <w:rFonts w:hint="eastAsia" w:ascii="仿宋_GB2312" w:eastAsia="仿宋_GB2312"/>
          <w:sz w:val="32"/>
          <w:szCs w:val="32"/>
          <w:lang w:val="en-US" w:eastAsia="zh-CN"/>
        </w:rPr>
        <w:t>7</w:t>
      </w:r>
      <w:r>
        <w:rPr>
          <w:rFonts w:hint="eastAsia" w:ascii="仿宋_GB2312" w:eastAsia="仿宋_GB2312"/>
          <w:sz w:val="32"/>
          <w:szCs w:val="32"/>
        </w:rPr>
        <w:t>年部门</w:t>
      </w:r>
      <w:r>
        <w:rPr>
          <w:rFonts w:hint="eastAsia" w:ascii="仿宋_GB2312" w:eastAsia="仿宋_GB2312"/>
          <w:sz w:val="32"/>
          <w:szCs w:val="32"/>
          <w:lang w:eastAsia="zh-CN"/>
        </w:rPr>
        <w:t>预</w:t>
      </w:r>
      <w:r>
        <w:rPr>
          <w:rFonts w:hint="eastAsia" w:ascii="仿宋_GB2312" w:eastAsia="仿宋_GB2312"/>
          <w:sz w:val="32"/>
          <w:szCs w:val="32"/>
        </w:rPr>
        <w:t xml:space="preserve">算、绩效目标填报及年末结余结转都是严格按照县财政局的要求认真完成。 </w:t>
      </w:r>
    </w:p>
    <w:p>
      <w:pPr>
        <w:numPr>
          <w:ilvl w:val="0"/>
          <w:numId w:val="3"/>
        </w:numPr>
        <w:ind w:firstLine="643" w:firstLineChars="200"/>
        <w:rPr>
          <w:rFonts w:hint="eastAsia" w:ascii="仿宋_GB2312" w:eastAsia="仿宋_GB2312"/>
          <w:b/>
          <w:bCs/>
          <w:sz w:val="32"/>
          <w:szCs w:val="32"/>
        </w:rPr>
      </w:pPr>
      <w:r>
        <w:rPr>
          <w:rFonts w:hint="eastAsia" w:ascii="仿宋_GB2312" w:eastAsia="仿宋_GB2312"/>
          <w:b/>
          <w:bCs/>
          <w:sz w:val="32"/>
          <w:szCs w:val="32"/>
        </w:rPr>
        <w:t>执行管理情况。</w:t>
      </w:r>
      <w:r>
        <w:rPr>
          <w:rFonts w:hint="eastAsia" w:ascii="仿宋_GB2312" w:eastAsia="仿宋_GB2312"/>
          <w:b/>
          <w:bCs/>
          <w:sz w:val="32"/>
          <w:szCs w:val="32"/>
          <w:lang w:eastAsia="zh-CN"/>
        </w:rPr>
        <w:t>、</w:t>
      </w:r>
      <w:r>
        <w:rPr>
          <w:rFonts w:hint="eastAsia" w:ascii="仿宋_GB2312" w:eastAsia="仿宋_GB2312"/>
          <w:b/>
          <w:bCs/>
          <w:sz w:val="32"/>
          <w:szCs w:val="32"/>
        </w:rPr>
        <w:t xml:space="preserve"> </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 xml:space="preserve">全年执行进度达到本部门执行进度。 </w:t>
      </w:r>
    </w:p>
    <w:p>
      <w:pPr>
        <w:numPr>
          <w:ilvl w:val="0"/>
          <w:numId w:val="3"/>
        </w:num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日常检查监督管理情况</w:t>
      </w:r>
    </w:p>
    <w:p>
      <w:pPr>
        <w:numPr>
          <w:ilvl w:val="0"/>
          <w:numId w:val="0"/>
        </w:numPr>
        <w:rPr>
          <w:rFonts w:hint="eastAsia" w:eastAsia="黑体"/>
          <w:sz w:val="32"/>
          <w:szCs w:val="32"/>
          <w:lang w:val="en-US" w:eastAsia="zh-CN"/>
        </w:rPr>
      </w:pPr>
      <w:r>
        <w:rPr>
          <w:rFonts w:hint="eastAsia" w:ascii="仿宋_GB2312" w:eastAsia="仿宋_GB2312"/>
          <w:sz w:val="32"/>
          <w:szCs w:val="32"/>
          <w:lang w:val="en-US" w:eastAsia="zh-CN"/>
        </w:rPr>
        <w:t xml:space="preserve">    我单位建立健全支出管理制度，成立领导小组，对开发区整体支出进行检查监督管理。</w:t>
      </w:r>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2017</w:t>
      </w:r>
      <w:r>
        <w:rPr>
          <w:rFonts w:hint="eastAsia" w:ascii="仿宋_GB2312" w:hAnsi="Times New Roman" w:eastAsia="仿宋_GB2312" w:cs="Times New Roman"/>
          <w:kern w:val="2"/>
          <w:sz w:val="32"/>
          <w:szCs w:val="32"/>
          <w:lang w:val="en-US" w:eastAsia="zh-CN" w:bidi="ar-SA"/>
        </w:rPr>
        <w:t>年</w:t>
      </w:r>
      <w:r>
        <w:rPr>
          <w:rFonts w:hint="default" w:ascii="仿宋_GB2312" w:hAnsi="Times New Roman" w:eastAsia="仿宋_GB2312" w:cs="Times New Roman"/>
          <w:kern w:val="2"/>
          <w:sz w:val="32"/>
          <w:szCs w:val="32"/>
          <w:lang w:val="en-US" w:eastAsia="zh-CN" w:bidi="ar-SA"/>
        </w:rPr>
        <w:t>，根据年初工作规划和重点性工作，较好的完成了年度工作目标。通过加强预算收支管理，不断建立健全内部管理制度，梳理内部管理流程，部门整体支出管理情况得到提升。根据</w:t>
      </w:r>
      <w:r>
        <w:rPr>
          <w:rFonts w:hint="eastAsia" w:ascii="仿宋_GB2312" w:eastAsia="仿宋_GB2312" w:cs="Times New Roman"/>
          <w:kern w:val="2"/>
          <w:sz w:val="32"/>
          <w:szCs w:val="32"/>
          <w:lang w:val="en-US" w:eastAsia="zh-CN" w:bidi="ar-SA"/>
        </w:rPr>
        <w:t>2017</w:t>
      </w:r>
      <w:r>
        <w:rPr>
          <w:rFonts w:hint="default" w:ascii="仿宋_GB2312" w:hAnsi="Times New Roman" w:eastAsia="仿宋_GB2312" w:cs="Times New Roman"/>
          <w:kern w:val="2"/>
          <w:sz w:val="32"/>
          <w:szCs w:val="32"/>
          <w:lang w:val="en-US" w:eastAsia="zh-CN" w:bidi="ar-SA"/>
        </w:rPr>
        <w:t>年度部门整体支出状况的概述和分析，部门整体支出绩效情况如下：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（一）经济效益评价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 本年预算配置控制较好。</w:t>
      </w:r>
      <w:r>
        <w:rPr>
          <w:rFonts w:hint="eastAsia" w:ascii="仿宋_GB2312" w:hAnsi="Times New Roman" w:eastAsia="仿宋_GB2312" w:cs="Times New Roman"/>
          <w:kern w:val="2"/>
          <w:sz w:val="32"/>
          <w:szCs w:val="32"/>
          <w:lang w:val="en-US" w:eastAsia="zh-CN" w:bidi="ar-SA"/>
        </w:rPr>
        <w:t>财政拨款安排支出主要用于保障单位正常运转、完成日常工作任务以及住房保障等相关工作。 </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　　基本支出和经营支出用于保障单位正常运转的日常支出，包括基本工资、津贴补贴等人员经费以及办公费、印刷费、水电费、办公设备购置等日常公用经费。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 </w:t>
      </w:r>
      <w:r>
        <w:rPr>
          <w:rFonts w:hint="default" w:ascii="仿宋_GB2312" w:hAnsi="Times New Roman" w:eastAsia="仿宋_GB2312" w:cs="Times New Roman"/>
          <w:kern w:val="2"/>
          <w:sz w:val="32"/>
          <w:szCs w:val="32"/>
          <w:lang w:val="en-US" w:eastAsia="zh-CN" w:bidi="ar-SA"/>
        </w:rPr>
        <w:t>“三公”经费预算总额较上年减少</w:t>
      </w:r>
      <w:r>
        <w:rPr>
          <w:rFonts w:hint="eastAsia" w:ascii="仿宋_GB2312" w:eastAsia="仿宋_GB2312" w:cs="Times New Roman"/>
          <w:kern w:val="2"/>
          <w:sz w:val="32"/>
          <w:szCs w:val="32"/>
          <w:lang w:val="en-US" w:eastAsia="zh-CN" w:bidi="ar-SA"/>
        </w:rPr>
        <w:t>5</w:t>
      </w:r>
      <w:r>
        <w:rPr>
          <w:rFonts w:hint="default"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（二）效率性评价和有效性评价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1、转变我</w:t>
      </w:r>
      <w:r>
        <w:rPr>
          <w:rFonts w:hint="eastAsia" w:ascii="仿宋_GB2312" w:eastAsia="仿宋_GB2312" w:cs="Times New Roman"/>
          <w:kern w:val="2"/>
          <w:sz w:val="32"/>
          <w:szCs w:val="32"/>
          <w:lang w:val="en-US" w:eastAsia="zh-CN" w:bidi="ar-SA"/>
        </w:rPr>
        <w:t>单位</w:t>
      </w:r>
      <w:r>
        <w:rPr>
          <w:rFonts w:hint="default" w:ascii="仿宋_GB2312" w:hAnsi="Times New Roman" w:eastAsia="仿宋_GB2312" w:cs="Times New Roman"/>
          <w:kern w:val="2"/>
          <w:sz w:val="32"/>
          <w:szCs w:val="32"/>
          <w:lang w:val="en-US" w:eastAsia="zh-CN" w:bidi="ar-SA"/>
        </w:rPr>
        <w:t>工作职能，切实转变机关工作人员工作作风、工作方式、工作方法，发挥职工的积极性和创造性，从根本上解决职工“想干事、敢干事、会干事、有事干”的问题，结合机关工作实际，年初制定了</w:t>
      </w:r>
      <w:r>
        <w:rPr>
          <w:rFonts w:hint="eastAsia" w:ascii="仿宋_GB2312" w:eastAsia="仿宋_GB2312" w:cs="Times New Roman"/>
          <w:kern w:val="2"/>
          <w:sz w:val="32"/>
          <w:szCs w:val="32"/>
          <w:lang w:val="en-US" w:eastAsia="zh-CN" w:bidi="ar-SA"/>
        </w:rPr>
        <w:t>开发区</w:t>
      </w:r>
      <w:r>
        <w:rPr>
          <w:rFonts w:hint="default" w:ascii="仿宋_GB2312" w:hAnsi="Times New Roman" w:eastAsia="仿宋_GB2312" w:cs="Times New Roman"/>
          <w:kern w:val="2"/>
          <w:sz w:val="32"/>
          <w:szCs w:val="32"/>
          <w:lang w:val="en-US" w:eastAsia="zh-CN" w:bidi="ar-SA"/>
        </w:rPr>
        <w:t>工作制度汇编，将每位职工的本职工作和机关的整体工作有机结合，实行工作责任制，工作职责细化量化，年终严格考核兑现。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2、制定了《</w:t>
      </w:r>
      <w:r>
        <w:rPr>
          <w:rFonts w:hint="eastAsia" w:ascii="仿宋_GB2312" w:eastAsia="仿宋_GB2312" w:cs="Times New Roman"/>
          <w:kern w:val="2"/>
          <w:sz w:val="32"/>
          <w:szCs w:val="32"/>
          <w:lang w:val="en-US" w:eastAsia="zh-CN" w:bidi="ar-SA"/>
        </w:rPr>
        <w:t>东安经济开发区</w:t>
      </w:r>
      <w:r>
        <w:rPr>
          <w:rFonts w:hint="default" w:ascii="仿宋_GB2312" w:hAnsi="Times New Roman" w:eastAsia="仿宋_GB2312" w:cs="Times New Roman"/>
          <w:kern w:val="2"/>
          <w:sz w:val="32"/>
          <w:szCs w:val="32"/>
          <w:lang w:val="en-US" w:eastAsia="zh-CN" w:bidi="ar-SA"/>
        </w:rPr>
        <w:t>财务管理制度》，强化内部管理，完善财务制度。规范管理体制，做到有章可循，违章必究，有效地加强了对单位内部的人、才、物的管理。</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五、结合《部门整体支出绩效评价指标表》（见附件）的评价结果</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六、存在的主要问题</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园区发展后劲有待加强。园区经济总量偏小，规模以上企业少，大项目少，项目带动力不强，产业集聚效益不明显，经济指标排位靠后。入园企业开工投产不足，创新能力和发展后劲不足，部分企业应对风险能力较弱、生产经营比较困难。</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（二）预算编制工作有待细化。预算编制不够明确和细化，预算编制的合理性需要提高</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预算执行力度还要进一步加强。</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（三）财政工作水平有待提高。财政工作按部就班，缺乏创新，在精度和深度上欠缺，还需要进一步完善，尤其是在政府采购、固定资产管理方面还需要进一步严格。</w:t>
      </w: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细化预算编制工作，认真做好预算的编制。进一步加强单位内部机构各局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adjustRightInd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附件：《部门整体支出绩效评价指标表》</w:t>
      </w:r>
    </w:p>
    <w:p>
      <w:pPr>
        <w:wordWrap w:val="0"/>
        <w:adjustRightInd w:val="0"/>
        <w:snapToGrid w:val="0"/>
        <w:spacing w:line="600" w:lineRule="exact"/>
        <w:ind w:firstLine="640" w:firstLineChars="200"/>
        <w:jc w:val="right"/>
        <w:rPr>
          <w:rFonts w:ascii="仿宋_GB2312" w:eastAsia="仿宋_GB2312"/>
          <w:sz w:val="32"/>
          <w:szCs w:val="32"/>
        </w:rPr>
      </w:pPr>
    </w:p>
    <w:p>
      <w:pPr>
        <w:wordWrap/>
        <w:adjustRightInd w:val="0"/>
        <w:snapToGrid w:val="0"/>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东安经济开发区管理委员会</w:t>
      </w:r>
    </w:p>
    <w:p>
      <w:pPr>
        <w:wordWrap/>
        <w:adjustRightInd w:val="0"/>
        <w:snapToGrid w:val="0"/>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w:t>
      </w:r>
      <w:bookmarkStart w:id="0" w:name="_GoBack"/>
      <w:bookmarkEnd w:id="0"/>
      <w:r>
        <w:rPr>
          <w:rFonts w:hint="eastAsia" w:ascii="仿宋_GB2312" w:eastAsia="仿宋_GB2312"/>
          <w:sz w:val="32"/>
          <w:szCs w:val="32"/>
          <w:lang w:val="en-US" w:eastAsia="zh-CN"/>
        </w:rPr>
        <w:t>年1月12日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5C45"/>
    <w:multiLevelType w:val="singleLevel"/>
    <w:tmpl w:val="5A0A5C45"/>
    <w:lvl w:ilvl="0" w:tentative="0">
      <w:start w:val="2"/>
      <w:numFmt w:val="chineseCounting"/>
      <w:suff w:val="nothing"/>
      <w:lvlText w:val="（%1）"/>
      <w:lvlJc w:val="left"/>
    </w:lvl>
  </w:abstractNum>
  <w:abstractNum w:abstractNumId="1">
    <w:nsid w:val="5BF60F70"/>
    <w:multiLevelType w:val="singleLevel"/>
    <w:tmpl w:val="5BF60F70"/>
    <w:lvl w:ilvl="0" w:tentative="0">
      <w:start w:val="2"/>
      <w:numFmt w:val="chineseCounting"/>
      <w:suff w:val="nothing"/>
      <w:lvlText w:val="（%1）"/>
      <w:lvlJc w:val="left"/>
    </w:lvl>
  </w:abstractNum>
  <w:abstractNum w:abstractNumId="2">
    <w:nsid w:val="5BF60FE0"/>
    <w:multiLevelType w:val="singleLevel"/>
    <w:tmpl w:val="5BF60FE0"/>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BD3A2A"/>
    <w:rsid w:val="00C25252"/>
    <w:rsid w:val="00CE0BD6"/>
    <w:rsid w:val="00D116AF"/>
    <w:rsid w:val="00D1790A"/>
    <w:rsid w:val="00D90AB0"/>
    <w:rsid w:val="00DF468F"/>
    <w:rsid w:val="00E023F5"/>
    <w:rsid w:val="00E641CA"/>
    <w:rsid w:val="00E96CA1"/>
    <w:rsid w:val="00EA1F7D"/>
    <w:rsid w:val="00F16E04"/>
    <w:rsid w:val="00F94903"/>
    <w:rsid w:val="188C175A"/>
    <w:rsid w:val="39000043"/>
    <w:rsid w:val="4E764660"/>
    <w:rsid w:val="7E14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7">
    <w:name w:val="FollowedHyperlink"/>
    <w:basedOn w:val="6"/>
    <w:qFormat/>
    <w:uiPriority w:val="0"/>
    <w:rPr>
      <w:color w:val="800080" w:themeColor="followedHyperlink"/>
      <w:u w:val="single"/>
      <w14:textFill>
        <w14:solidFill>
          <w14:schemeClr w14:val="folHlink"/>
        </w14:solidFill>
      </w14:textFill>
    </w:rPr>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ScaleCrop>false</ScaleCrop>
  <LinksUpToDate>false</LinksUpToDate>
  <CharactersWithSpaces>714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Administrator</cp:lastModifiedBy>
  <cp:lastPrinted>2018-12-03T02:24:06Z</cp:lastPrinted>
  <dcterms:modified xsi:type="dcterms:W3CDTF">2018-12-03T02:24:36Z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