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_GBK" w:eastAsia="方正小标宋_GBK"/>
          <w:sz w:val="36"/>
          <w:szCs w:val="36"/>
        </w:rPr>
      </w:pPr>
      <w:r>
        <w:rPr>
          <w:rFonts w:hint="eastAsia" w:ascii="方正小标宋_GBK" w:eastAsia="方正小标宋_GBK"/>
          <w:sz w:val="36"/>
          <w:szCs w:val="36"/>
        </w:rPr>
        <w:t>鹿马桥镇</w:t>
      </w:r>
      <w:r>
        <w:rPr>
          <w:rFonts w:hint="eastAsia" w:ascii="方正小标宋_GBK" w:eastAsia="方正小标宋_GBK"/>
          <w:sz w:val="36"/>
          <w:szCs w:val="36"/>
          <w:lang w:eastAsia="zh-CN"/>
        </w:rPr>
        <w:t>村级运转经费</w:t>
      </w:r>
      <w:r>
        <w:rPr>
          <w:rFonts w:hint="eastAsia" w:ascii="方正小标宋_GBK" w:eastAsia="方正小标宋_GBK"/>
          <w:sz w:val="36"/>
          <w:szCs w:val="36"/>
        </w:rPr>
        <w:t>专项资金绩效评价报告</w:t>
      </w:r>
    </w:p>
    <w:p>
      <w:pPr>
        <w:adjustRightInd w:val="0"/>
        <w:spacing w:line="600" w:lineRule="exact"/>
        <w:jc w:val="center"/>
        <w:rPr>
          <w:rFonts w:eastAsia="黑体"/>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一、项目概况</w:t>
      </w:r>
    </w:p>
    <w:p>
      <w:pPr>
        <w:adjustRightInd w:val="0"/>
        <w:snapToGrid w:val="0"/>
        <w:spacing w:line="600" w:lineRule="exact"/>
        <w:rPr>
          <w:rFonts w:hint="eastAsia" w:eastAsia="仿宋_GB2312"/>
          <w:sz w:val="32"/>
          <w:szCs w:val="32"/>
        </w:rPr>
      </w:pPr>
      <w:r>
        <w:rPr>
          <w:rFonts w:eastAsia="仿宋_GB2312"/>
          <w:sz w:val="32"/>
          <w:szCs w:val="32"/>
        </w:rPr>
        <w:t>（一）项目基本情况简介</w:t>
      </w:r>
    </w:p>
    <w:p>
      <w:pPr>
        <w:adjustRightInd w:val="0"/>
        <w:snapToGrid w:val="0"/>
        <w:spacing w:line="600" w:lineRule="exact"/>
        <w:ind w:firstLine="640" w:firstLineChars="200"/>
        <w:rPr>
          <w:rFonts w:eastAsia="仿宋_GB2312"/>
          <w:sz w:val="32"/>
          <w:szCs w:val="32"/>
        </w:rPr>
      </w:pPr>
      <w:r>
        <w:rPr>
          <w:rFonts w:eastAsia="仿宋_GB2312"/>
          <w:sz w:val="32"/>
          <w:szCs w:val="32"/>
        </w:rPr>
        <w:t>鹿马桥镇，湖南省永州市东安县辖镇，位于永州市</w:t>
      </w:r>
      <w:r>
        <w:fldChar w:fldCharType="begin"/>
      </w:r>
      <w:r>
        <w:instrText xml:space="preserve"> HYPERLINK "https://baike.so.com/doc/4136082-4335664.html" \t "_blank" </w:instrText>
      </w:r>
      <w:r>
        <w:fldChar w:fldCharType="separate"/>
      </w:r>
      <w:r>
        <w:rPr>
          <w:rFonts w:eastAsia="仿宋_GB2312"/>
          <w:sz w:val="32"/>
          <w:szCs w:val="32"/>
        </w:rPr>
        <w:t>东安县</w:t>
      </w:r>
      <w:r>
        <w:rPr>
          <w:rFonts w:eastAsia="仿宋_GB2312"/>
          <w:sz w:val="32"/>
          <w:szCs w:val="32"/>
        </w:rPr>
        <w:fldChar w:fldCharType="end"/>
      </w:r>
      <w:r>
        <w:rPr>
          <w:rFonts w:eastAsia="仿宋_GB2312"/>
          <w:sz w:val="32"/>
          <w:szCs w:val="32"/>
        </w:rPr>
        <w:t>中西部，总面积79平方公里，</w:t>
      </w:r>
      <w:r>
        <w:rPr>
          <w:rFonts w:hint="eastAsia" w:eastAsia="仿宋_GB2312"/>
          <w:sz w:val="32"/>
          <w:szCs w:val="32"/>
        </w:rPr>
        <w:t>20个行政村</w:t>
      </w:r>
      <w:r>
        <w:rPr>
          <w:rFonts w:eastAsia="仿宋_GB2312"/>
          <w:sz w:val="32"/>
          <w:szCs w:val="32"/>
        </w:rPr>
        <w:t>，共8401户，31764人</w:t>
      </w:r>
      <w:r>
        <w:rPr>
          <w:rFonts w:hint="eastAsia" w:eastAsia="仿宋_GB2312"/>
          <w:sz w:val="32"/>
          <w:szCs w:val="32"/>
          <w:lang w:eastAsia="zh-CN"/>
        </w:rPr>
        <w:t>，其中</w:t>
      </w:r>
      <w:r>
        <w:rPr>
          <w:rFonts w:hint="eastAsia" w:eastAsia="仿宋_GB2312"/>
          <w:sz w:val="32"/>
          <w:szCs w:val="32"/>
        </w:rPr>
        <w:t>村级运转经费共308万元，完成政府交办和下达的各项工作任务及乡村建设，切实履行法律规定的各项权利和义务，保证村支两委正常运转和发展农村经济和社会各项事业。</w:t>
      </w:r>
    </w:p>
    <w:p>
      <w:pPr>
        <w:numPr>
          <w:ilvl w:val="0"/>
          <w:numId w:val="1"/>
        </w:numPr>
        <w:adjustRightInd w:val="0"/>
        <w:snapToGrid w:val="0"/>
        <w:spacing w:line="600" w:lineRule="exact"/>
        <w:rPr>
          <w:rFonts w:eastAsia="仿宋_GB2312"/>
          <w:sz w:val="32"/>
          <w:szCs w:val="32"/>
        </w:rPr>
      </w:pPr>
      <w:r>
        <w:rPr>
          <w:rFonts w:eastAsia="仿宋_GB2312"/>
          <w:sz w:val="32"/>
          <w:szCs w:val="32"/>
        </w:rPr>
        <w:t>项目绩效目标</w:t>
      </w:r>
      <w:r>
        <w:rPr>
          <w:rFonts w:hint="eastAsia" w:eastAsia="仿宋_GB2312"/>
          <w:sz w:val="32"/>
          <w:szCs w:val="32"/>
        </w:rPr>
        <w:t>。</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为了更好地发展乡村经济，村</w:t>
      </w:r>
      <w:r>
        <w:rPr>
          <w:rFonts w:hint="eastAsia" w:eastAsia="仿宋_GB2312"/>
          <w:sz w:val="32"/>
          <w:szCs w:val="32"/>
          <w:lang w:eastAsia="zh-CN"/>
        </w:rPr>
        <w:t>干部工资按时发放率为</w:t>
      </w:r>
      <w:r>
        <w:rPr>
          <w:rFonts w:hint="eastAsia" w:eastAsia="仿宋_GB2312"/>
          <w:sz w:val="32"/>
          <w:szCs w:val="32"/>
          <w:lang w:val="en-US" w:eastAsia="zh-CN"/>
        </w:rPr>
        <w:t>100%</w:t>
      </w:r>
      <w:r>
        <w:rPr>
          <w:rFonts w:hint="eastAsia" w:eastAsia="仿宋_GB2312"/>
          <w:sz w:val="32"/>
          <w:szCs w:val="32"/>
        </w:rPr>
        <w:t>；</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lang w:eastAsia="zh-CN"/>
        </w:rPr>
        <w:t>对</w:t>
      </w:r>
      <w:r>
        <w:rPr>
          <w:rFonts w:hint="eastAsia" w:eastAsia="仿宋_GB2312"/>
          <w:sz w:val="32"/>
          <w:szCs w:val="32"/>
        </w:rPr>
        <w:t>村级公务经费</w:t>
      </w:r>
      <w:r>
        <w:rPr>
          <w:rFonts w:hint="eastAsia" w:eastAsia="仿宋_GB2312"/>
          <w:sz w:val="32"/>
          <w:szCs w:val="32"/>
          <w:lang w:eastAsia="zh-CN"/>
        </w:rPr>
        <w:t>进行合理的配置，充分将服务群众的经费进行了最大化利用</w:t>
      </w:r>
      <w:r>
        <w:rPr>
          <w:rFonts w:hint="eastAsia" w:eastAsia="仿宋_GB2312"/>
          <w:sz w:val="32"/>
          <w:szCs w:val="32"/>
        </w:rPr>
        <w:t>；</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按</w:t>
      </w:r>
      <w:r>
        <w:rPr>
          <w:rFonts w:hint="eastAsia" w:eastAsia="仿宋_GB2312"/>
          <w:sz w:val="32"/>
          <w:szCs w:val="32"/>
          <w:lang w:eastAsia="zh-CN"/>
        </w:rPr>
        <w:t>镇</w:t>
      </w:r>
      <w:r>
        <w:rPr>
          <w:rFonts w:hint="eastAsia" w:eastAsia="仿宋_GB2312"/>
          <w:sz w:val="32"/>
          <w:szCs w:val="32"/>
        </w:rPr>
        <w:t>政府的部署和上级主管部门的要求完成本年度工作和上报中长期工作计划；</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按照</w:t>
      </w:r>
      <w:r>
        <w:rPr>
          <w:rFonts w:hint="eastAsia" w:eastAsia="仿宋_GB2312"/>
          <w:sz w:val="32"/>
          <w:szCs w:val="32"/>
          <w:lang w:eastAsia="zh-CN"/>
        </w:rPr>
        <w:t>镇</w:t>
      </w:r>
      <w:r>
        <w:rPr>
          <w:rFonts w:hint="eastAsia" w:eastAsia="仿宋_GB2312"/>
          <w:sz w:val="32"/>
          <w:szCs w:val="32"/>
        </w:rPr>
        <w:t>政府的部署完成本年度在社会治安、民间纠纷、安全监管等方面的工作任务，完成本年度农田水利基本建设、村级公路、植树造林任务和村级一事一议的组织和引导工作。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完成新农保、新农合工作目标；</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完成农村五保户、低保户的核定及资金发放工作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完成其他惠农补贴发放的基础数据收集及工时工作；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完成</w:t>
      </w:r>
      <w:r>
        <w:rPr>
          <w:rFonts w:hint="eastAsia" w:eastAsia="仿宋_GB2312"/>
          <w:sz w:val="32"/>
          <w:szCs w:val="32"/>
          <w:lang w:eastAsia="zh-CN"/>
        </w:rPr>
        <w:t>镇</w:t>
      </w:r>
      <w:r>
        <w:rPr>
          <w:rFonts w:hint="eastAsia" w:eastAsia="仿宋_GB2312"/>
          <w:sz w:val="32"/>
          <w:szCs w:val="32"/>
        </w:rPr>
        <w:t>政府交办的各项重点工作和其他中心工作任务；</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计划生育、社会治安综合治理、安全生产达全县先进行列、群众上访率控制在最低标准以内；</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支委的主导下，搞好党风廉政建设及反腐工作；</w:t>
      </w:r>
    </w:p>
    <w:p>
      <w:pPr>
        <w:numPr>
          <w:ilvl w:val="0"/>
          <w:numId w:val="2"/>
        </w:numPr>
        <w:adjustRightInd w:val="0"/>
        <w:snapToGrid w:val="0"/>
        <w:spacing w:line="600" w:lineRule="exact"/>
        <w:ind w:firstLine="640"/>
        <w:rPr>
          <w:rFonts w:eastAsia="仿宋_GB2312"/>
          <w:sz w:val="32"/>
          <w:szCs w:val="32"/>
        </w:rPr>
      </w:pPr>
      <w:r>
        <w:rPr>
          <w:rFonts w:hint="eastAsia" w:eastAsia="仿宋_GB2312"/>
          <w:sz w:val="32"/>
          <w:szCs w:val="32"/>
        </w:rPr>
        <w:t>群众对村干部满意率达</w:t>
      </w:r>
      <w:r>
        <w:rPr>
          <w:rFonts w:hint="eastAsia" w:eastAsia="仿宋_GB2312"/>
          <w:sz w:val="32"/>
          <w:szCs w:val="32"/>
          <w:lang w:val="en-US" w:eastAsia="zh-CN"/>
        </w:rPr>
        <w:t>98</w:t>
      </w:r>
      <w:r>
        <w:rPr>
          <w:rFonts w:hint="eastAsia" w:eastAsia="仿宋_GB2312"/>
          <w:sz w:val="32"/>
          <w:szCs w:val="32"/>
        </w:rPr>
        <w:t>%以上，退休村干生活补助报账发放达100%。</w:t>
      </w:r>
    </w:p>
    <w:p>
      <w:pPr>
        <w:adjustRightInd w:val="0"/>
        <w:snapToGrid w:val="0"/>
        <w:spacing w:line="600" w:lineRule="exact"/>
        <w:ind w:firstLine="640" w:firstLineChars="200"/>
        <w:rPr>
          <w:rFonts w:eastAsia="黑体"/>
          <w:sz w:val="32"/>
          <w:szCs w:val="32"/>
        </w:rPr>
      </w:pPr>
      <w:r>
        <w:rPr>
          <w:rFonts w:eastAsia="黑体"/>
          <w:sz w:val="32"/>
          <w:szCs w:val="32"/>
        </w:rPr>
        <w:t>二、项目资金使用及管理情况</w:t>
      </w:r>
    </w:p>
    <w:p>
      <w:pPr>
        <w:adjustRightInd w:val="0"/>
        <w:snapToGrid w:val="0"/>
        <w:spacing w:line="600" w:lineRule="exact"/>
        <w:ind w:firstLine="640"/>
        <w:rPr>
          <w:rFonts w:eastAsia="仿宋_GB2312"/>
          <w:sz w:val="32"/>
          <w:szCs w:val="32"/>
        </w:rPr>
      </w:pPr>
      <w:r>
        <w:rPr>
          <w:rFonts w:hint="eastAsia" w:eastAsia="仿宋_GB2312"/>
          <w:sz w:val="32"/>
          <w:szCs w:val="32"/>
        </w:rPr>
        <w:t>1、党委政府用文件的形式将村级云状经费根据各村人口、地域、土地面积、历史等各项因素科学合理的将所有资金分配到各行政村，做到公平公正公开透明。</w:t>
      </w:r>
    </w:p>
    <w:p>
      <w:pPr>
        <w:adjustRightInd w:val="0"/>
        <w:snapToGrid w:val="0"/>
        <w:spacing w:line="600" w:lineRule="exact"/>
        <w:ind w:firstLine="640"/>
        <w:rPr>
          <w:rFonts w:eastAsia="仿宋_GB2312"/>
          <w:sz w:val="32"/>
          <w:szCs w:val="32"/>
        </w:rPr>
      </w:pPr>
      <w:r>
        <w:rPr>
          <w:rFonts w:hint="eastAsia" w:eastAsia="仿宋_GB2312"/>
          <w:sz w:val="32"/>
          <w:szCs w:val="32"/>
        </w:rPr>
        <w:t>2、制定村级财务制度，并实行村长乡代理制度，严控三公经费的使用，资金用乡财政所按时用银行转账的方式将资金拨付到各村账户，保证了资金的安全。</w:t>
      </w:r>
    </w:p>
    <w:p>
      <w:pPr>
        <w:adjustRightInd w:val="0"/>
        <w:snapToGrid w:val="0"/>
        <w:spacing w:line="600" w:lineRule="exact"/>
        <w:ind w:firstLine="640"/>
        <w:rPr>
          <w:rFonts w:eastAsia="仿宋_GB2312"/>
          <w:sz w:val="32"/>
          <w:szCs w:val="32"/>
        </w:rPr>
      </w:pPr>
      <w:r>
        <w:rPr>
          <w:rFonts w:hint="eastAsia" w:eastAsia="仿宋_GB2312"/>
          <w:sz w:val="32"/>
          <w:szCs w:val="32"/>
        </w:rPr>
        <w:t>3、制定村级目标考核制度，对村主要工作职责和政府中心工作纳入绩效考核。</w:t>
      </w:r>
    </w:p>
    <w:p>
      <w:pPr>
        <w:adjustRightInd w:val="0"/>
        <w:snapToGrid w:val="0"/>
        <w:spacing w:line="600" w:lineRule="exact"/>
        <w:ind w:firstLine="640"/>
        <w:rPr>
          <w:rFonts w:eastAsia="仿宋_GB2312"/>
          <w:sz w:val="32"/>
          <w:szCs w:val="32"/>
        </w:rPr>
      </w:pPr>
      <w:r>
        <w:rPr>
          <w:rFonts w:hint="eastAsia" w:eastAsia="仿宋_GB2312"/>
          <w:sz w:val="32"/>
          <w:szCs w:val="32"/>
        </w:rPr>
        <w:t>4、各村年初向</w:t>
      </w:r>
      <w:r>
        <w:rPr>
          <w:rFonts w:hint="eastAsia" w:eastAsia="仿宋_GB2312"/>
          <w:sz w:val="32"/>
          <w:szCs w:val="32"/>
          <w:lang w:eastAsia="zh-CN"/>
        </w:rPr>
        <w:t>镇</w:t>
      </w:r>
      <w:r>
        <w:rPr>
          <w:rFonts w:hint="eastAsia" w:eastAsia="仿宋_GB2312"/>
          <w:sz w:val="32"/>
          <w:szCs w:val="32"/>
        </w:rPr>
        <w:t>党委递交了年度经济发展计划及中长期经济发展规划。签订了党风廉政建设、计划生育综合治理、社会治安综合治理、安全生产责任状。</w:t>
      </w:r>
    </w:p>
    <w:p>
      <w:pPr>
        <w:adjustRightInd w:val="0"/>
        <w:snapToGrid w:val="0"/>
        <w:spacing w:line="600" w:lineRule="exact"/>
        <w:ind w:firstLine="640"/>
        <w:rPr>
          <w:rFonts w:eastAsia="仿宋_GB2312"/>
          <w:sz w:val="32"/>
          <w:szCs w:val="32"/>
        </w:rPr>
      </w:pPr>
      <w:r>
        <w:rPr>
          <w:rFonts w:hint="eastAsia" w:eastAsia="仿宋_GB2312"/>
          <w:sz w:val="32"/>
          <w:szCs w:val="32"/>
        </w:rPr>
        <w:t>5、由党委在每年的四月对上年度村级运转经费及其他资金的管理和使用情况进行检查并形成制度。</w:t>
      </w:r>
    </w:p>
    <w:p>
      <w:pPr>
        <w:spacing w:line="600" w:lineRule="exact"/>
        <w:ind w:firstLine="640" w:firstLineChars="200"/>
        <w:rPr>
          <w:rFonts w:eastAsia="仿宋_GB2312"/>
          <w:sz w:val="32"/>
          <w:szCs w:val="32"/>
        </w:rPr>
      </w:pPr>
      <w:r>
        <w:rPr>
          <w:rFonts w:hint="eastAsia" w:eastAsia="黑体"/>
          <w:sz w:val="32"/>
          <w:szCs w:val="32"/>
          <w:lang w:eastAsia="zh-CN"/>
        </w:rPr>
        <w:t>三</w:t>
      </w:r>
      <w:r>
        <w:rPr>
          <w:rFonts w:eastAsia="黑体"/>
          <w:sz w:val="32"/>
          <w:szCs w:val="32"/>
        </w:rPr>
        <w:t>、项目绩效</w:t>
      </w:r>
      <w:r>
        <w:rPr>
          <w:rFonts w:hint="eastAsia" w:eastAsia="黑体"/>
          <w:sz w:val="32"/>
          <w:szCs w:val="32"/>
        </w:rPr>
        <w:t>情况</w:t>
      </w:r>
    </w:p>
    <w:p>
      <w:pPr>
        <w:adjustRightInd w:val="0"/>
        <w:snapToGrid w:val="0"/>
        <w:spacing w:line="600" w:lineRule="exact"/>
        <w:ind w:firstLine="640"/>
        <w:rPr>
          <w:rFonts w:eastAsia="仿宋_GB2312"/>
          <w:sz w:val="32"/>
          <w:szCs w:val="32"/>
        </w:rPr>
      </w:pPr>
      <w:r>
        <w:rPr>
          <w:rFonts w:hint="eastAsia" w:eastAsia="仿宋_GB2312"/>
          <w:sz w:val="32"/>
          <w:szCs w:val="32"/>
        </w:rPr>
        <w:t>1、农村居民人均收入较上年</w:t>
      </w:r>
      <w:r>
        <w:rPr>
          <w:rFonts w:hint="eastAsia" w:eastAsia="仿宋_GB2312"/>
          <w:sz w:val="32"/>
          <w:szCs w:val="32"/>
          <w:lang w:eastAsia="zh-CN"/>
        </w:rPr>
        <w:t>有所增长</w:t>
      </w:r>
      <w:r>
        <w:rPr>
          <w:rFonts w:hint="eastAsia" w:eastAsia="仿宋_GB2312"/>
          <w:sz w:val="32"/>
          <w:szCs w:val="32"/>
        </w:rPr>
        <w:t>；</w:t>
      </w:r>
    </w:p>
    <w:p>
      <w:pPr>
        <w:adjustRightInd w:val="0"/>
        <w:snapToGrid w:val="0"/>
        <w:spacing w:line="600" w:lineRule="exact"/>
        <w:ind w:firstLine="640"/>
        <w:rPr>
          <w:rFonts w:eastAsia="仿宋_GB2312"/>
          <w:sz w:val="32"/>
          <w:szCs w:val="32"/>
        </w:rPr>
      </w:pPr>
      <w:r>
        <w:rPr>
          <w:rFonts w:hint="eastAsia" w:eastAsia="仿宋_GB2312"/>
          <w:sz w:val="32"/>
          <w:szCs w:val="32"/>
        </w:rPr>
        <w:t>2、村干部待遇达到了省市县规定的基数。</w:t>
      </w:r>
    </w:p>
    <w:p>
      <w:pPr>
        <w:adjustRightInd w:val="0"/>
        <w:snapToGrid w:val="0"/>
        <w:spacing w:line="600" w:lineRule="exact"/>
        <w:ind w:firstLine="640"/>
        <w:rPr>
          <w:rFonts w:eastAsia="仿宋_GB2312"/>
          <w:sz w:val="32"/>
          <w:szCs w:val="32"/>
        </w:rPr>
      </w:pPr>
      <w:r>
        <w:rPr>
          <w:rFonts w:hint="eastAsia" w:eastAsia="仿宋_GB2312"/>
          <w:sz w:val="32"/>
          <w:szCs w:val="32"/>
        </w:rPr>
        <w:t>3、社会治安民意调查排名良好，民众反响较好；</w:t>
      </w:r>
    </w:p>
    <w:p>
      <w:pPr>
        <w:adjustRightInd w:val="0"/>
        <w:snapToGrid w:val="0"/>
        <w:spacing w:line="600" w:lineRule="exact"/>
        <w:ind w:firstLine="640"/>
        <w:rPr>
          <w:rFonts w:eastAsia="仿宋_GB2312"/>
          <w:sz w:val="32"/>
          <w:szCs w:val="32"/>
        </w:rPr>
      </w:pPr>
      <w:r>
        <w:rPr>
          <w:rFonts w:hint="eastAsia" w:eastAsia="仿宋_GB2312"/>
          <w:sz w:val="32"/>
          <w:szCs w:val="32"/>
        </w:rPr>
        <w:t>4、农村清洁工程每季度检查情况良好。民众反响较好；</w:t>
      </w:r>
    </w:p>
    <w:p>
      <w:pPr>
        <w:adjustRightInd w:val="0"/>
        <w:snapToGrid w:val="0"/>
        <w:spacing w:line="600" w:lineRule="exact"/>
        <w:ind w:firstLine="640"/>
        <w:rPr>
          <w:rFonts w:eastAsia="仿宋_GB2312"/>
          <w:sz w:val="32"/>
          <w:szCs w:val="32"/>
        </w:rPr>
      </w:pPr>
      <w:r>
        <w:rPr>
          <w:rFonts w:hint="eastAsia" w:eastAsia="仿宋_GB2312"/>
          <w:sz w:val="32"/>
          <w:szCs w:val="32"/>
        </w:rPr>
        <w:t>5、惠农资金兑现率和农民卡发放率达100%，较上年由一定提高；</w:t>
      </w:r>
    </w:p>
    <w:p>
      <w:pPr>
        <w:adjustRightInd w:val="0"/>
        <w:snapToGrid w:val="0"/>
        <w:spacing w:line="600" w:lineRule="exact"/>
        <w:ind w:firstLine="640"/>
        <w:rPr>
          <w:rFonts w:eastAsia="仿宋_GB2312"/>
          <w:sz w:val="32"/>
          <w:szCs w:val="32"/>
        </w:rPr>
      </w:pPr>
      <w:r>
        <w:rPr>
          <w:rFonts w:hint="eastAsia" w:eastAsia="仿宋_GB2312"/>
          <w:sz w:val="32"/>
          <w:szCs w:val="32"/>
        </w:rPr>
        <w:t>6、新农合参保率和新农保参合率均达</w:t>
      </w:r>
      <w:r>
        <w:rPr>
          <w:rFonts w:hint="eastAsia" w:eastAsia="仿宋_GB2312"/>
          <w:sz w:val="32"/>
          <w:szCs w:val="32"/>
          <w:lang w:val="en-US" w:eastAsia="zh-CN"/>
        </w:rPr>
        <w:t>100</w:t>
      </w:r>
      <w:r>
        <w:rPr>
          <w:rFonts w:hint="eastAsia" w:eastAsia="仿宋_GB2312"/>
          <w:sz w:val="32"/>
          <w:szCs w:val="32"/>
        </w:rPr>
        <w:t>%；</w:t>
      </w:r>
    </w:p>
    <w:p>
      <w:pPr>
        <w:adjustRightInd w:val="0"/>
        <w:snapToGrid w:val="0"/>
        <w:spacing w:line="600" w:lineRule="exact"/>
        <w:ind w:firstLine="640"/>
        <w:rPr>
          <w:rFonts w:eastAsia="仿宋_GB2312"/>
          <w:sz w:val="32"/>
          <w:szCs w:val="32"/>
        </w:rPr>
      </w:pPr>
      <w:r>
        <w:rPr>
          <w:rFonts w:hint="eastAsia" w:eastAsia="仿宋_GB2312"/>
          <w:sz w:val="32"/>
          <w:szCs w:val="32"/>
        </w:rPr>
        <w:t>7、经过党政办的电话调查和下乡走访</w:t>
      </w:r>
      <w:r>
        <w:rPr>
          <w:rFonts w:hint="eastAsia" w:eastAsia="仿宋_GB2312"/>
          <w:sz w:val="32"/>
          <w:szCs w:val="32"/>
          <w:lang w:eastAsia="zh-CN"/>
        </w:rPr>
        <w:t>，</w:t>
      </w:r>
      <w:r>
        <w:rPr>
          <w:rFonts w:hint="eastAsia" w:eastAsia="仿宋_GB2312"/>
          <w:sz w:val="32"/>
          <w:szCs w:val="32"/>
        </w:rPr>
        <w:t>村干对党委政府工作的安排与协调满意很高，电话调查与实人访谈的满意率在99%以上。</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结合《专项资金绩效评价指标表》的评价结果</w:t>
      </w:r>
    </w:p>
    <w:p>
      <w:pPr>
        <w:adjustRightInd w:val="0"/>
        <w:snapToGrid w:val="0"/>
        <w:spacing w:line="600" w:lineRule="exact"/>
        <w:ind w:firstLine="640"/>
        <w:rPr>
          <w:rFonts w:eastAsia="仿宋_GB2312"/>
          <w:sz w:val="32"/>
          <w:szCs w:val="32"/>
        </w:rPr>
      </w:pPr>
      <w:r>
        <w:rPr>
          <w:rFonts w:hint="eastAsia" w:eastAsia="仿宋_GB2312"/>
          <w:sz w:val="32"/>
          <w:szCs w:val="32"/>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adjustRightInd w:val="0"/>
        <w:snapToGrid w:val="0"/>
        <w:spacing w:line="600" w:lineRule="exact"/>
        <w:ind w:firstLine="640"/>
        <w:rPr>
          <w:rFonts w:eastAsia="仿宋_GB2312"/>
          <w:sz w:val="32"/>
          <w:szCs w:val="32"/>
        </w:rPr>
      </w:pPr>
      <w:r>
        <w:rPr>
          <w:rFonts w:hint="eastAsia" w:eastAsia="仿宋_GB2312"/>
          <w:sz w:val="32"/>
          <w:szCs w:val="32"/>
        </w:rPr>
        <w:t>2、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adjustRightInd w:val="0"/>
        <w:snapToGrid w:val="0"/>
        <w:spacing w:line="600" w:lineRule="exact"/>
        <w:ind w:firstLine="640"/>
        <w:rPr>
          <w:rFonts w:eastAsia="仿宋_GB2312"/>
          <w:sz w:val="32"/>
          <w:szCs w:val="32"/>
        </w:rPr>
      </w:pPr>
      <w:r>
        <w:rPr>
          <w:rFonts w:hint="eastAsia" w:eastAsia="仿宋_GB2312"/>
          <w:sz w:val="32"/>
          <w:szCs w:val="32"/>
        </w:rPr>
        <w:t>3、公益事业建设有了一定保证。逐年增加的转移支付资金，使各村在保障正常运转的同时，可以拿出一部分资金用于普制公益事业建设。</w:t>
      </w:r>
    </w:p>
    <w:p>
      <w:pPr>
        <w:adjustRightInd w:val="0"/>
        <w:snapToGrid w:val="0"/>
        <w:spacing w:line="600" w:lineRule="exact"/>
        <w:ind w:firstLine="640"/>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五、</w:t>
      </w:r>
      <w:r>
        <w:rPr>
          <w:rFonts w:hint="eastAsia" w:eastAsia="黑体"/>
          <w:sz w:val="32"/>
          <w:szCs w:val="32"/>
        </w:rPr>
        <w:t>建议</w:t>
      </w:r>
    </w:p>
    <w:p>
      <w:pPr>
        <w:adjustRightInd w:val="0"/>
        <w:snapToGrid w:val="0"/>
        <w:spacing w:line="600" w:lineRule="exact"/>
        <w:rPr>
          <w:rFonts w:eastAsia="仿宋_GB2312"/>
          <w:sz w:val="32"/>
          <w:szCs w:val="32"/>
        </w:rPr>
      </w:pPr>
      <w:r>
        <w:rPr>
          <w:rFonts w:hint="eastAsia" w:eastAsia="仿宋_GB2312"/>
          <w:sz w:val="32"/>
          <w:szCs w:val="32"/>
        </w:rPr>
        <w:t xml:space="preserve">     为加强村级运转经费的使用管理，确保运转经费的合理运用，应该要1、科学制定村级运转经费的发放范围，科学地将公用经费列支。2、严格村级运转经费的使用程序，规范业务将资金落到实处。3、加强对村级运转经费的监督管理，建立健全经费审批制度保证运转经费的合理运用。</w:t>
      </w:r>
    </w:p>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bookmarkStart w:id="0" w:name="_GoBack"/>
      <w:bookmarkEnd w:id="0"/>
    </w:p>
    <w:p>
      <w:pPr>
        <w:adjustRightInd w:val="0"/>
        <w:snapToGrid w:val="0"/>
        <w:spacing w:line="600" w:lineRule="exact"/>
        <w:rPr>
          <w:rFonts w:hint="eastAsia" w:eastAsia="仿宋_GB2312"/>
          <w:sz w:val="32"/>
          <w:szCs w:val="32"/>
        </w:rPr>
      </w:pPr>
      <w:r>
        <w:rPr>
          <w:rFonts w:hint="eastAsia" w:eastAsia="仿宋_GB2312"/>
          <w:sz w:val="32"/>
          <w:szCs w:val="32"/>
        </w:rPr>
        <w:t xml:space="preserve">                                   鹿马桥镇人民政府</w:t>
      </w:r>
    </w:p>
    <w:p>
      <w:pPr>
        <w:adjustRightInd w:val="0"/>
        <w:ind w:firstLine="640" w:firstLineChars="200"/>
        <w:jc w:val="right"/>
        <w:rPr>
          <w:rFonts w:hint="eastAsia" w:eastAsia="仿宋_GB2312"/>
          <w:sz w:val="32"/>
          <w:szCs w:val="32"/>
          <w:lang w:val="en-US" w:eastAsia="zh-CN"/>
        </w:rPr>
      </w:pPr>
      <w:r>
        <w:rPr>
          <w:rFonts w:hint="eastAsia" w:eastAsia="仿宋_GB2312"/>
          <w:sz w:val="32"/>
          <w:szCs w:val="32"/>
          <w:lang w:val="en-US" w:eastAsia="zh-CN"/>
        </w:rPr>
        <w:t>2018年10月 10日</w:t>
      </w:r>
    </w:p>
    <w:p>
      <w:pPr>
        <w:spacing w:line="600" w:lineRule="exact"/>
        <w:ind w:firstLine="420" w:firstLineChars="20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abstractNum w:abstractNumId="1">
    <w:nsid w:val="519C5FBA"/>
    <w:multiLevelType w:val="singleLevel"/>
    <w:tmpl w:val="519C5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3C2BBB"/>
    <w:rsid w:val="003E7E8C"/>
    <w:rsid w:val="004A7F48"/>
    <w:rsid w:val="00503E76"/>
    <w:rsid w:val="0056201E"/>
    <w:rsid w:val="00581FCD"/>
    <w:rsid w:val="006D014D"/>
    <w:rsid w:val="00791BD9"/>
    <w:rsid w:val="0083763D"/>
    <w:rsid w:val="00873E88"/>
    <w:rsid w:val="00956362"/>
    <w:rsid w:val="00A626F9"/>
    <w:rsid w:val="00C06221"/>
    <w:rsid w:val="00D9303D"/>
    <w:rsid w:val="00E13133"/>
    <w:rsid w:val="00E45E3F"/>
    <w:rsid w:val="01CD3796"/>
    <w:rsid w:val="10F87080"/>
    <w:rsid w:val="408963F0"/>
    <w:rsid w:val="490C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1447</Characters>
  <Lines>12</Lines>
  <Paragraphs>3</Paragraphs>
  <TotalTime>1</TotalTime>
  <ScaleCrop>false</ScaleCrop>
  <LinksUpToDate>false</LinksUpToDate>
  <CharactersWithSpaces>1697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qqn</cp:lastModifiedBy>
  <cp:lastPrinted>2018-08-01T01:16:42Z</cp:lastPrinted>
  <dcterms:modified xsi:type="dcterms:W3CDTF">2018-08-01T01:16:50Z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