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78" w:rsidRDefault="00800A4E">
      <w:pPr>
        <w:adjustRightInd w:val="0"/>
        <w:spacing w:line="600" w:lineRule="exact"/>
        <w:jc w:val="center"/>
        <w:rPr>
          <w:rFonts w:ascii="方正小标宋_GBK" w:eastAsia="方正小标宋_GBK"/>
          <w:sz w:val="36"/>
          <w:szCs w:val="36"/>
        </w:rPr>
      </w:pPr>
      <w:r>
        <w:rPr>
          <w:rFonts w:ascii="方正小标宋_GBK" w:eastAsia="方正小标宋_GBK" w:hint="eastAsia"/>
          <w:sz w:val="36"/>
          <w:szCs w:val="36"/>
        </w:rPr>
        <w:t>芦洪市</w:t>
      </w:r>
      <w:r w:rsidR="008A464A">
        <w:rPr>
          <w:rFonts w:ascii="方正小标宋_GBK" w:eastAsia="方正小标宋_GBK" w:hint="eastAsia"/>
          <w:sz w:val="36"/>
          <w:szCs w:val="36"/>
        </w:rPr>
        <w:t>镇</w:t>
      </w:r>
      <w:r w:rsidR="008A464A">
        <w:rPr>
          <w:rFonts w:ascii="方正小标宋_GBK" w:eastAsia="方正小标宋_GBK" w:hint="eastAsia"/>
          <w:sz w:val="36"/>
          <w:szCs w:val="36"/>
        </w:rPr>
        <w:t>村级运转经费</w:t>
      </w:r>
      <w:r w:rsidR="008A464A">
        <w:rPr>
          <w:rFonts w:ascii="方正小标宋_GBK" w:eastAsia="方正小标宋_GBK" w:hint="eastAsia"/>
          <w:sz w:val="36"/>
          <w:szCs w:val="36"/>
        </w:rPr>
        <w:t>专项资金绩效评价报告</w:t>
      </w:r>
    </w:p>
    <w:p w:rsidR="00F93C78" w:rsidRDefault="00F93C78">
      <w:pPr>
        <w:adjustRightInd w:val="0"/>
        <w:spacing w:line="600" w:lineRule="exact"/>
        <w:jc w:val="center"/>
        <w:rPr>
          <w:rFonts w:eastAsia="黑体"/>
          <w:sz w:val="32"/>
          <w:szCs w:val="32"/>
        </w:rPr>
      </w:pP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一、项目概况</w:t>
      </w:r>
    </w:p>
    <w:p w:rsidR="00F93C78" w:rsidRDefault="008A464A">
      <w:pPr>
        <w:adjustRightInd w:val="0"/>
        <w:snapToGrid w:val="0"/>
        <w:spacing w:line="600" w:lineRule="exact"/>
        <w:rPr>
          <w:rFonts w:eastAsia="仿宋_GB2312"/>
          <w:sz w:val="32"/>
          <w:szCs w:val="32"/>
        </w:rPr>
      </w:pPr>
      <w:r>
        <w:rPr>
          <w:rFonts w:eastAsia="仿宋_GB2312"/>
          <w:sz w:val="32"/>
          <w:szCs w:val="32"/>
        </w:rPr>
        <w:t>（一）项目基本情况简介</w:t>
      </w:r>
    </w:p>
    <w:p w:rsidR="00F93C78" w:rsidRDefault="00800A4E">
      <w:pPr>
        <w:adjustRightInd w:val="0"/>
        <w:snapToGrid w:val="0"/>
        <w:spacing w:line="600" w:lineRule="exact"/>
        <w:ind w:firstLineChars="200" w:firstLine="640"/>
        <w:rPr>
          <w:rFonts w:eastAsia="仿宋_GB2312"/>
          <w:sz w:val="32"/>
          <w:szCs w:val="32"/>
        </w:rPr>
      </w:pPr>
      <w:r>
        <w:rPr>
          <w:rFonts w:eastAsia="仿宋_GB2312" w:hint="eastAsia"/>
          <w:sz w:val="32"/>
          <w:szCs w:val="32"/>
        </w:rPr>
        <w:t>芦洪市</w:t>
      </w:r>
      <w:r w:rsidR="008A464A">
        <w:rPr>
          <w:rFonts w:eastAsia="仿宋_GB2312"/>
          <w:sz w:val="32"/>
          <w:szCs w:val="32"/>
        </w:rPr>
        <w:t>镇，湖南省永州市东安县辖镇，位于永州市</w:t>
      </w:r>
      <w:hyperlink r:id="rId8" w:tgtFrame="_blank" w:history="1">
        <w:r w:rsidR="008A464A">
          <w:rPr>
            <w:rFonts w:eastAsia="仿宋_GB2312"/>
            <w:sz w:val="32"/>
            <w:szCs w:val="32"/>
          </w:rPr>
          <w:t>东安县</w:t>
        </w:r>
      </w:hyperlink>
      <w:r w:rsidR="008A464A">
        <w:rPr>
          <w:rFonts w:eastAsia="仿宋_GB2312"/>
          <w:sz w:val="32"/>
          <w:szCs w:val="32"/>
        </w:rPr>
        <w:t>中西部，总面积</w:t>
      </w:r>
      <w:r>
        <w:rPr>
          <w:rFonts w:eastAsia="仿宋_GB2312" w:hint="eastAsia"/>
          <w:sz w:val="32"/>
          <w:szCs w:val="32"/>
        </w:rPr>
        <w:t>16</w:t>
      </w:r>
      <w:r w:rsidR="008A464A">
        <w:rPr>
          <w:rFonts w:eastAsia="仿宋_GB2312"/>
          <w:sz w:val="32"/>
          <w:szCs w:val="32"/>
        </w:rPr>
        <w:t>9</w:t>
      </w:r>
      <w:r w:rsidR="008A464A">
        <w:rPr>
          <w:rFonts w:eastAsia="仿宋_GB2312"/>
          <w:sz w:val="32"/>
          <w:szCs w:val="32"/>
        </w:rPr>
        <w:t>平方公里，</w:t>
      </w:r>
      <w:r>
        <w:rPr>
          <w:rFonts w:eastAsia="仿宋_GB2312" w:hint="eastAsia"/>
          <w:sz w:val="32"/>
          <w:szCs w:val="32"/>
        </w:rPr>
        <w:t>33</w:t>
      </w:r>
      <w:r w:rsidR="008A464A">
        <w:rPr>
          <w:rFonts w:eastAsia="仿宋_GB2312" w:hint="eastAsia"/>
          <w:sz w:val="32"/>
          <w:szCs w:val="32"/>
        </w:rPr>
        <w:t>个行政村</w:t>
      </w:r>
      <w:r w:rsidR="008A464A">
        <w:rPr>
          <w:rFonts w:eastAsia="仿宋_GB2312"/>
          <w:sz w:val="32"/>
          <w:szCs w:val="32"/>
        </w:rPr>
        <w:t>，共</w:t>
      </w:r>
      <w:r>
        <w:rPr>
          <w:rFonts w:eastAsia="仿宋_GB2312" w:hint="eastAsia"/>
          <w:sz w:val="32"/>
          <w:szCs w:val="32"/>
        </w:rPr>
        <w:t>2308</w:t>
      </w:r>
      <w:r w:rsidR="008A464A">
        <w:rPr>
          <w:rFonts w:eastAsia="仿宋_GB2312"/>
          <w:sz w:val="32"/>
          <w:szCs w:val="32"/>
        </w:rPr>
        <w:t>户，</w:t>
      </w:r>
      <w:r>
        <w:rPr>
          <w:rFonts w:eastAsia="仿宋_GB2312" w:hint="eastAsia"/>
          <w:sz w:val="32"/>
          <w:szCs w:val="32"/>
        </w:rPr>
        <w:t>65426</w:t>
      </w:r>
      <w:r w:rsidR="008A464A">
        <w:rPr>
          <w:rFonts w:eastAsia="仿宋_GB2312"/>
          <w:sz w:val="32"/>
          <w:szCs w:val="32"/>
        </w:rPr>
        <w:t>人</w:t>
      </w:r>
      <w:r w:rsidR="008A464A">
        <w:rPr>
          <w:rFonts w:eastAsia="仿宋_GB2312" w:hint="eastAsia"/>
          <w:sz w:val="32"/>
          <w:szCs w:val="32"/>
        </w:rPr>
        <w:t>，其中</w:t>
      </w:r>
      <w:r w:rsidR="008A464A">
        <w:rPr>
          <w:rFonts w:eastAsia="仿宋_GB2312" w:hint="eastAsia"/>
          <w:sz w:val="32"/>
          <w:szCs w:val="32"/>
        </w:rPr>
        <w:t>村级运转经费共</w:t>
      </w:r>
      <w:r>
        <w:rPr>
          <w:rFonts w:eastAsia="仿宋_GB2312" w:hint="eastAsia"/>
          <w:sz w:val="32"/>
          <w:szCs w:val="32"/>
        </w:rPr>
        <w:t>529</w:t>
      </w:r>
      <w:r w:rsidR="008A464A">
        <w:rPr>
          <w:rFonts w:eastAsia="仿宋_GB2312" w:hint="eastAsia"/>
          <w:sz w:val="32"/>
          <w:szCs w:val="32"/>
        </w:rPr>
        <w:t>万元，完成政府交办和下达的各项工作任务及乡村建设，切实履行法律规定的各项权利和义务，保证村支两委正常运转和发展农村经济和社会各项事业。</w:t>
      </w:r>
    </w:p>
    <w:p w:rsidR="00F93C78" w:rsidRDefault="008A464A">
      <w:pPr>
        <w:numPr>
          <w:ilvl w:val="0"/>
          <w:numId w:val="1"/>
        </w:numPr>
        <w:adjustRightInd w:val="0"/>
        <w:snapToGrid w:val="0"/>
        <w:spacing w:line="600" w:lineRule="exact"/>
        <w:rPr>
          <w:rFonts w:eastAsia="仿宋_GB2312"/>
          <w:sz w:val="32"/>
          <w:szCs w:val="32"/>
        </w:rPr>
      </w:pPr>
      <w:r>
        <w:rPr>
          <w:rFonts w:eastAsia="仿宋_GB2312"/>
          <w:sz w:val="32"/>
          <w:szCs w:val="32"/>
        </w:rPr>
        <w:t>项目绩效目标</w:t>
      </w:r>
      <w:r>
        <w:rPr>
          <w:rFonts w:eastAsia="仿宋_GB2312" w:hint="eastAsia"/>
          <w:sz w:val="32"/>
          <w:szCs w:val="32"/>
        </w:rPr>
        <w:t>。</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为了更好地发展乡村经济，村</w:t>
      </w:r>
      <w:r>
        <w:rPr>
          <w:rFonts w:eastAsia="仿宋_GB2312" w:hint="eastAsia"/>
          <w:sz w:val="32"/>
          <w:szCs w:val="32"/>
        </w:rPr>
        <w:t>干部工资按时发放率为</w:t>
      </w:r>
      <w:r>
        <w:rPr>
          <w:rFonts w:eastAsia="仿宋_GB2312" w:hint="eastAsia"/>
          <w:sz w:val="32"/>
          <w:szCs w:val="32"/>
        </w:rPr>
        <w:t>100%</w:t>
      </w:r>
      <w:r>
        <w:rPr>
          <w:rFonts w:eastAsia="仿宋_GB2312" w:hint="eastAsia"/>
          <w:sz w:val="32"/>
          <w:szCs w:val="32"/>
        </w:rPr>
        <w:t>；</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对</w:t>
      </w:r>
      <w:r>
        <w:rPr>
          <w:rFonts w:eastAsia="仿宋_GB2312" w:hint="eastAsia"/>
          <w:sz w:val="32"/>
          <w:szCs w:val="32"/>
        </w:rPr>
        <w:t>村级公务经费</w:t>
      </w:r>
      <w:r>
        <w:rPr>
          <w:rFonts w:eastAsia="仿宋_GB2312" w:hint="eastAsia"/>
          <w:sz w:val="32"/>
          <w:szCs w:val="32"/>
        </w:rPr>
        <w:t>进行合理的配置，充分将服务群众的经费进行了最大化利用</w:t>
      </w:r>
      <w:r>
        <w:rPr>
          <w:rFonts w:eastAsia="仿宋_GB2312" w:hint="eastAsia"/>
          <w:sz w:val="32"/>
          <w:szCs w:val="32"/>
        </w:rPr>
        <w:t>；</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按</w:t>
      </w:r>
      <w:r>
        <w:rPr>
          <w:rFonts w:eastAsia="仿宋_GB2312" w:hint="eastAsia"/>
          <w:sz w:val="32"/>
          <w:szCs w:val="32"/>
        </w:rPr>
        <w:t>镇</w:t>
      </w:r>
      <w:r>
        <w:rPr>
          <w:rFonts w:eastAsia="仿宋_GB2312" w:hint="eastAsia"/>
          <w:sz w:val="32"/>
          <w:szCs w:val="32"/>
        </w:rPr>
        <w:t>政府的部署和上级主管部门的要求完成本年度工作和上报中长期工作计划；</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按照</w:t>
      </w:r>
      <w:r>
        <w:rPr>
          <w:rFonts w:eastAsia="仿宋_GB2312" w:hint="eastAsia"/>
          <w:sz w:val="32"/>
          <w:szCs w:val="32"/>
        </w:rPr>
        <w:t>镇</w:t>
      </w:r>
      <w:r>
        <w:rPr>
          <w:rFonts w:eastAsia="仿宋_GB2312" w:hint="eastAsia"/>
          <w:sz w:val="32"/>
          <w:szCs w:val="32"/>
        </w:rPr>
        <w:t>政府的部署完成本年度在社会治安、民间纠纷、安全监管等方面的工作任务，完成本年度农田水利基本建设、村级公路、植树造林任务和村级一事一议的组织和引导工作。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完成新农保、新农合工作目标；</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完成农村五保户、低保户的核定及资金发放工作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lastRenderedPageBreak/>
        <w:t>完成其他惠农补贴发放的基础数据收集及工时工作；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完成</w:t>
      </w:r>
      <w:r>
        <w:rPr>
          <w:rFonts w:eastAsia="仿宋_GB2312" w:hint="eastAsia"/>
          <w:sz w:val="32"/>
          <w:szCs w:val="32"/>
        </w:rPr>
        <w:t>镇</w:t>
      </w:r>
      <w:r>
        <w:rPr>
          <w:rFonts w:eastAsia="仿宋_GB2312" w:hint="eastAsia"/>
          <w:sz w:val="32"/>
          <w:szCs w:val="32"/>
        </w:rPr>
        <w:t>政府交办的</w:t>
      </w:r>
      <w:r>
        <w:rPr>
          <w:rFonts w:eastAsia="仿宋_GB2312" w:hint="eastAsia"/>
          <w:sz w:val="32"/>
          <w:szCs w:val="32"/>
        </w:rPr>
        <w:t>各项重点工作和其他中心工作任务；</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计划生育、社会治安综合治理、安全生产达全县先进行列、群众上访率控制在最低标准以内；</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支委的主导下，搞好党风廉政建设及反腐工作；</w:t>
      </w:r>
    </w:p>
    <w:p w:rsidR="00F93C78" w:rsidRDefault="008A464A">
      <w:pPr>
        <w:numPr>
          <w:ilvl w:val="0"/>
          <w:numId w:val="2"/>
        </w:numPr>
        <w:adjustRightInd w:val="0"/>
        <w:snapToGrid w:val="0"/>
        <w:spacing w:line="600" w:lineRule="exact"/>
        <w:ind w:firstLine="640"/>
        <w:rPr>
          <w:rFonts w:eastAsia="仿宋_GB2312"/>
          <w:sz w:val="32"/>
          <w:szCs w:val="32"/>
        </w:rPr>
      </w:pPr>
      <w:r>
        <w:rPr>
          <w:rFonts w:eastAsia="仿宋_GB2312" w:hint="eastAsia"/>
          <w:sz w:val="32"/>
          <w:szCs w:val="32"/>
        </w:rPr>
        <w:t>群众对村干部满意率达</w:t>
      </w:r>
      <w:r>
        <w:rPr>
          <w:rFonts w:eastAsia="仿宋_GB2312" w:hint="eastAsia"/>
          <w:sz w:val="32"/>
          <w:szCs w:val="32"/>
        </w:rPr>
        <w:t>98</w:t>
      </w:r>
      <w:r>
        <w:rPr>
          <w:rFonts w:eastAsia="仿宋_GB2312" w:hint="eastAsia"/>
          <w:sz w:val="32"/>
          <w:szCs w:val="32"/>
        </w:rPr>
        <w:t>%</w:t>
      </w:r>
      <w:r>
        <w:rPr>
          <w:rFonts w:eastAsia="仿宋_GB2312" w:hint="eastAsia"/>
          <w:sz w:val="32"/>
          <w:szCs w:val="32"/>
        </w:rPr>
        <w:t>以上，退休村干生活补助报账发放达</w:t>
      </w:r>
      <w:r>
        <w:rPr>
          <w:rFonts w:eastAsia="仿宋_GB2312" w:hint="eastAsia"/>
          <w:sz w:val="32"/>
          <w:szCs w:val="32"/>
        </w:rPr>
        <w:t>100%</w:t>
      </w:r>
      <w:r>
        <w:rPr>
          <w:rFonts w:eastAsia="仿宋_GB2312" w:hint="eastAsia"/>
          <w:sz w:val="32"/>
          <w:szCs w:val="32"/>
        </w:rPr>
        <w:t>。</w:t>
      </w: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二、项目资金使用及管理情况</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、党委政府用文件的形式将村级云状经费根据各村人口、地域、土地面积、历史等各项因素科学合理的将所有资金分配到各行政村，做到公平公正公开透明。</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、制定村级财务制度，并实行村长乡代理制度，严控三公经费的使用，资金用乡财政所按时用银行转账的方式将资金拨付到各村账户，保证了资金的安全。</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、制定村级目标考核制度，对村主要工作职责和政府中心工作纳入绩效考核。</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、各村年初向</w:t>
      </w:r>
      <w:r>
        <w:rPr>
          <w:rFonts w:eastAsia="仿宋_GB2312" w:hint="eastAsia"/>
          <w:sz w:val="32"/>
          <w:szCs w:val="32"/>
        </w:rPr>
        <w:t>镇</w:t>
      </w:r>
      <w:r>
        <w:rPr>
          <w:rFonts w:eastAsia="仿宋_GB2312" w:hint="eastAsia"/>
          <w:sz w:val="32"/>
          <w:szCs w:val="32"/>
        </w:rPr>
        <w:t>党委递交了年度经济发展计划及中长期经济发展规划。签订了党风廉政建设、计划生育综合治理、社会治安综合治理、安全生产责任状。</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5</w:t>
      </w:r>
      <w:r>
        <w:rPr>
          <w:rFonts w:eastAsia="仿宋_GB2312" w:hint="eastAsia"/>
          <w:sz w:val="32"/>
          <w:szCs w:val="32"/>
        </w:rPr>
        <w:t>、由党委在每年的四月对上年度村级运转经费及其他资金的管理和使用情况进行检查并形成制度。</w:t>
      </w:r>
    </w:p>
    <w:p w:rsidR="00F93C78" w:rsidRDefault="008A464A">
      <w:pPr>
        <w:spacing w:line="600" w:lineRule="exact"/>
        <w:ind w:firstLineChars="200" w:firstLine="640"/>
        <w:rPr>
          <w:rFonts w:eastAsia="仿宋_GB2312"/>
          <w:sz w:val="32"/>
          <w:szCs w:val="32"/>
        </w:rPr>
      </w:pPr>
      <w:r>
        <w:rPr>
          <w:rFonts w:eastAsia="黑体" w:hint="eastAsia"/>
          <w:sz w:val="32"/>
          <w:szCs w:val="32"/>
        </w:rPr>
        <w:t>四</w:t>
      </w:r>
      <w:r>
        <w:rPr>
          <w:rFonts w:eastAsia="黑体"/>
          <w:sz w:val="32"/>
          <w:szCs w:val="32"/>
        </w:rPr>
        <w:t>、项目绩效</w:t>
      </w:r>
      <w:r>
        <w:rPr>
          <w:rFonts w:eastAsia="黑体" w:hint="eastAsia"/>
          <w:sz w:val="32"/>
          <w:szCs w:val="32"/>
        </w:rPr>
        <w:t>情况</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、农村居民人均收入较上年</w:t>
      </w:r>
      <w:r>
        <w:rPr>
          <w:rFonts w:eastAsia="仿宋_GB2312" w:hint="eastAsia"/>
          <w:sz w:val="32"/>
          <w:szCs w:val="32"/>
        </w:rPr>
        <w:t>有所增长</w:t>
      </w:r>
      <w:r>
        <w:rPr>
          <w:rFonts w:eastAsia="仿宋_GB2312" w:hint="eastAsia"/>
          <w:sz w:val="32"/>
          <w:szCs w:val="32"/>
        </w:rPr>
        <w:t>；</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、村干部待遇达到了省市县规定的基数。</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、社会治安民意调查排名良好，民众反响较好；</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4</w:t>
      </w:r>
      <w:r>
        <w:rPr>
          <w:rFonts w:eastAsia="仿宋_GB2312" w:hint="eastAsia"/>
          <w:sz w:val="32"/>
          <w:szCs w:val="32"/>
        </w:rPr>
        <w:t>、农村清洁工程每季度检查情况良好。民众反响较好；</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5</w:t>
      </w:r>
      <w:r>
        <w:rPr>
          <w:rFonts w:eastAsia="仿宋_GB2312" w:hint="eastAsia"/>
          <w:sz w:val="32"/>
          <w:szCs w:val="32"/>
        </w:rPr>
        <w:t>、惠农资金兑现率和农民卡发放率达</w:t>
      </w:r>
      <w:r>
        <w:rPr>
          <w:rFonts w:eastAsia="仿宋_GB2312" w:hint="eastAsia"/>
          <w:sz w:val="32"/>
          <w:szCs w:val="32"/>
        </w:rPr>
        <w:t>100%</w:t>
      </w:r>
      <w:r>
        <w:rPr>
          <w:rFonts w:eastAsia="仿宋_GB2312" w:hint="eastAsia"/>
          <w:sz w:val="32"/>
          <w:szCs w:val="32"/>
        </w:rPr>
        <w:t>，较上年由一定提高；</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6</w:t>
      </w:r>
      <w:r>
        <w:rPr>
          <w:rFonts w:eastAsia="仿宋_GB2312" w:hint="eastAsia"/>
          <w:sz w:val="32"/>
          <w:szCs w:val="32"/>
        </w:rPr>
        <w:t>、新农合参保率和新农保参合率均达</w:t>
      </w:r>
      <w:r>
        <w:rPr>
          <w:rFonts w:eastAsia="仿宋_GB2312" w:hint="eastAsia"/>
          <w:sz w:val="32"/>
          <w:szCs w:val="32"/>
        </w:rPr>
        <w:t>100</w:t>
      </w:r>
      <w:r>
        <w:rPr>
          <w:rFonts w:eastAsia="仿宋_GB2312" w:hint="eastAsia"/>
          <w:sz w:val="32"/>
          <w:szCs w:val="32"/>
        </w:rPr>
        <w:t>%</w:t>
      </w:r>
      <w:r>
        <w:rPr>
          <w:rFonts w:eastAsia="仿宋_GB2312" w:hint="eastAsia"/>
          <w:sz w:val="32"/>
          <w:szCs w:val="32"/>
        </w:rPr>
        <w:t>；</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7</w:t>
      </w:r>
      <w:r>
        <w:rPr>
          <w:rFonts w:eastAsia="仿宋_GB2312" w:hint="eastAsia"/>
          <w:sz w:val="32"/>
          <w:szCs w:val="32"/>
        </w:rPr>
        <w:t>、经过党政办的电话调查和下乡走访</w:t>
      </w:r>
      <w:r>
        <w:rPr>
          <w:rFonts w:eastAsia="仿宋_GB2312" w:hint="eastAsia"/>
          <w:sz w:val="32"/>
          <w:szCs w:val="32"/>
        </w:rPr>
        <w:t>，</w:t>
      </w:r>
      <w:r>
        <w:rPr>
          <w:rFonts w:eastAsia="仿宋_GB2312" w:hint="eastAsia"/>
          <w:sz w:val="32"/>
          <w:szCs w:val="32"/>
        </w:rPr>
        <w:t>村干对党委政府工作的安排与协调满意很高，电话调查与实人访谈的满意率在</w:t>
      </w:r>
      <w:r>
        <w:rPr>
          <w:rFonts w:eastAsia="仿宋_GB2312" w:hint="eastAsia"/>
          <w:sz w:val="32"/>
          <w:szCs w:val="32"/>
        </w:rPr>
        <w:t>99%</w:t>
      </w:r>
      <w:r>
        <w:rPr>
          <w:rFonts w:eastAsia="仿宋_GB2312" w:hint="eastAsia"/>
          <w:sz w:val="32"/>
          <w:szCs w:val="32"/>
        </w:rPr>
        <w:t>以上。</w:t>
      </w:r>
    </w:p>
    <w:p w:rsidR="00F93C78" w:rsidRDefault="008A464A">
      <w:pPr>
        <w:adjustRightInd w:val="0"/>
        <w:snapToGrid w:val="0"/>
        <w:spacing w:line="600" w:lineRule="exact"/>
        <w:ind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w:t>
      </w:r>
      <w:r>
        <w:rPr>
          <w:rFonts w:ascii="黑体" w:eastAsia="黑体" w:hint="eastAsia"/>
          <w:sz w:val="32"/>
          <w:szCs w:val="32"/>
        </w:rPr>
        <w:t>结合《专项资金绩效评价指标表》的评价结果</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、确保了农村基层党组织和基层政权的稳定，农村税费改革后，村集体取消了三提五统，村级经费难以保障。再</w:t>
      </w:r>
      <w:r>
        <w:rPr>
          <w:rFonts w:eastAsia="仿宋_GB2312" w:hint="eastAsia"/>
          <w:sz w:val="32"/>
          <w:szCs w:val="32"/>
        </w:rPr>
        <w:t>加上并村并组，村干部角色已悄然发生变化，市场经济条件下，在强调村干部的贡献依然不行，一定的经济保障是维持村干部队伍的基础。</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2</w:t>
      </w:r>
      <w:r>
        <w:rPr>
          <w:rFonts w:eastAsia="仿宋_GB2312" w:hint="eastAsia"/>
          <w:sz w:val="32"/>
          <w:szCs w:val="32"/>
        </w:rPr>
        <w:t>、位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rsidR="00F93C78" w:rsidRDefault="008A464A">
      <w:pPr>
        <w:adjustRightInd w:val="0"/>
        <w:snapToGrid w:val="0"/>
        <w:spacing w:line="600" w:lineRule="exact"/>
        <w:ind w:firstLine="640"/>
        <w:rPr>
          <w:rFonts w:eastAsia="仿宋_GB2312"/>
          <w:sz w:val="32"/>
          <w:szCs w:val="32"/>
        </w:rPr>
      </w:pPr>
      <w:r>
        <w:rPr>
          <w:rFonts w:eastAsia="仿宋_GB2312" w:hint="eastAsia"/>
          <w:sz w:val="32"/>
          <w:szCs w:val="32"/>
        </w:rPr>
        <w:t>3</w:t>
      </w:r>
      <w:r>
        <w:rPr>
          <w:rFonts w:eastAsia="仿宋_GB2312" w:hint="eastAsia"/>
          <w:sz w:val="32"/>
          <w:szCs w:val="32"/>
        </w:rPr>
        <w:t>、公益事业建设有了一定保证。逐年增加的转移支付资金，使各村在保障正常运转的同时，可以拿出一部分资金</w:t>
      </w:r>
      <w:r>
        <w:rPr>
          <w:rFonts w:eastAsia="仿宋_GB2312" w:hint="eastAsia"/>
          <w:sz w:val="32"/>
          <w:szCs w:val="32"/>
        </w:rPr>
        <w:lastRenderedPageBreak/>
        <w:t>用于普制公益事业建设。</w:t>
      </w:r>
    </w:p>
    <w:p w:rsidR="00F93C78" w:rsidRDefault="00F93C78">
      <w:pPr>
        <w:adjustRightInd w:val="0"/>
        <w:snapToGrid w:val="0"/>
        <w:spacing w:line="600" w:lineRule="exact"/>
        <w:ind w:firstLine="640"/>
        <w:rPr>
          <w:rFonts w:eastAsia="仿宋_GB2312"/>
          <w:sz w:val="32"/>
          <w:szCs w:val="32"/>
        </w:rPr>
      </w:pPr>
    </w:p>
    <w:p w:rsidR="00F93C78" w:rsidRDefault="008A464A">
      <w:pPr>
        <w:adjustRightInd w:val="0"/>
        <w:snapToGrid w:val="0"/>
        <w:spacing w:line="600" w:lineRule="exact"/>
        <w:ind w:firstLineChars="200" w:firstLine="640"/>
        <w:rPr>
          <w:rFonts w:eastAsia="黑体"/>
          <w:sz w:val="32"/>
          <w:szCs w:val="32"/>
        </w:rPr>
      </w:pPr>
      <w:r>
        <w:rPr>
          <w:rFonts w:eastAsia="黑体"/>
          <w:sz w:val="32"/>
          <w:szCs w:val="32"/>
        </w:rPr>
        <w:t>五、</w:t>
      </w:r>
      <w:r>
        <w:rPr>
          <w:rFonts w:eastAsia="黑体" w:hint="eastAsia"/>
          <w:sz w:val="32"/>
          <w:szCs w:val="32"/>
        </w:rPr>
        <w:t>建议</w:t>
      </w:r>
    </w:p>
    <w:p w:rsidR="00F93C78" w:rsidRDefault="008A464A">
      <w:pPr>
        <w:adjustRightInd w:val="0"/>
        <w:snapToGrid w:val="0"/>
        <w:spacing w:line="60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为加强村级运转经费的使用管理，确</w:t>
      </w:r>
      <w:r>
        <w:rPr>
          <w:rFonts w:eastAsia="仿宋_GB2312" w:hint="eastAsia"/>
          <w:sz w:val="32"/>
          <w:szCs w:val="32"/>
        </w:rPr>
        <w:t>保运转经费的合理运用，应该要</w:t>
      </w:r>
      <w:r>
        <w:rPr>
          <w:rFonts w:eastAsia="仿宋_GB2312" w:hint="eastAsia"/>
          <w:sz w:val="32"/>
          <w:szCs w:val="32"/>
        </w:rPr>
        <w:t>1</w:t>
      </w:r>
      <w:r>
        <w:rPr>
          <w:rFonts w:eastAsia="仿宋_GB2312" w:hint="eastAsia"/>
          <w:sz w:val="32"/>
          <w:szCs w:val="32"/>
        </w:rPr>
        <w:t>、科学制定村级运转经费的发放范围，科学地将公用经费列支。</w:t>
      </w:r>
      <w:r>
        <w:rPr>
          <w:rFonts w:eastAsia="仿宋_GB2312" w:hint="eastAsia"/>
          <w:sz w:val="32"/>
          <w:szCs w:val="32"/>
        </w:rPr>
        <w:t>2</w:t>
      </w:r>
      <w:r>
        <w:rPr>
          <w:rFonts w:eastAsia="仿宋_GB2312" w:hint="eastAsia"/>
          <w:sz w:val="32"/>
          <w:szCs w:val="32"/>
        </w:rPr>
        <w:t>、严格村级运转经费的使用程序，规范业务将资金落到实处。</w:t>
      </w:r>
      <w:r>
        <w:rPr>
          <w:rFonts w:eastAsia="仿宋_GB2312" w:hint="eastAsia"/>
          <w:sz w:val="32"/>
          <w:szCs w:val="32"/>
        </w:rPr>
        <w:t>3</w:t>
      </w:r>
      <w:r>
        <w:rPr>
          <w:rFonts w:eastAsia="仿宋_GB2312" w:hint="eastAsia"/>
          <w:sz w:val="32"/>
          <w:szCs w:val="32"/>
        </w:rPr>
        <w:t>、加强对村级运转经费的监督管理，建立健全经费审批制度保证运转经费的合理运用。</w:t>
      </w:r>
    </w:p>
    <w:p w:rsidR="00F93C78" w:rsidRDefault="00F93C78">
      <w:pPr>
        <w:adjustRightInd w:val="0"/>
        <w:snapToGrid w:val="0"/>
        <w:spacing w:line="600" w:lineRule="exact"/>
        <w:rPr>
          <w:rFonts w:eastAsia="仿宋_GB2312"/>
          <w:sz w:val="32"/>
          <w:szCs w:val="32"/>
        </w:rPr>
      </w:pPr>
    </w:p>
    <w:p w:rsidR="00F93C78" w:rsidRDefault="00F93C78">
      <w:pPr>
        <w:adjustRightInd w:val="0"/>
        <w:snapToGrid w:val="0"/>
        <w:spacing w:line="600" w:lineRule="exact"/>
        <w:rPr>
          <w:rFonts w:eastAsia="仿宋_GB2312"/>
          <w:sz w:val="32"/>
          <w:szCs w:val="32"/>
        </w:rPr>
      </w:pPr>
      <w:bookmarkStart w:id="0" w:name="_GoBack"/>
      <w:bookmarkEnd w:id="0"/>
    </w:p>
    <w:p w:rsidR="00F93C78" w:rsidRDefault="008A464A">
      <w:pPr>
        <w:adjustRightInd w:val="0"/>
        <w:snapToGrid w:val="0"/>
        <w:spacing w:line="600" w:lineRule="exact"/>
        <w:rPr>
          <w:rFonts w:eastAsia="仿宋_GB2312"/>
          <w:sz w:val="32"/>
          <w:szCs w:val="32"/>
        </w:rPr>
      </w:pPr>
      <w:r>
        <w:rPr>
          <w:rFonts w:eastAsia="仿宋_GB2312" w:hint="eastAsia"/>
          <w:sz w:val="32"/>
          <w:szCs w:val="32"/>
        </w:rPr>
        <w:t xml:space="preserve">                                   </w:t>
      </w:r>
      <w:r w:rsidR="008A1DA3">
        <w:rPr>
          <w:rFonts w:eastAsia="仿宋_GB2312" w:hint="eastAsia"/>
          <w:sz w:val="32"/>
          <w:szCs w:val="32"/>
        </w:rPr>
        <w:t>芦洪市</w:t>
      </w:r>
      <w:r>
        <w:rPr>
          <w:rFonts w:eastAsia="仿宋_GB2312" w:hint="eastAsia"/>
          <w:sz w:val="32"/>
          <w:szCs w:val="32"/>
        </w:rPr>
        <w:t>镇人民政府</w:t>
      </w:r>
    </w:p>
    <w:p w:rsidR="00F93C78" w:rsidRDefault="008A464A">
      <w:pPr>
        <w:adjustRightInd w:val="0"/>
        <w:ind w:firstLineChars="200" w:firstLine="640"/>
        <w:jc w:val="right"/>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 xml:space="preserve"> 10</w:t>
      </w:r>
      <w:r>
        <w:rPr>
          <w:rFonts w:eastAsia="仿宋_GB2312" w:hint="eastAsia"/>
          <w:sz w:val="32"/>
          <w:szCs w:val="32"/>
        </w:rPr>
        <w:t>日</w:t>
      </w:r>
    </w:p>
    <w:p w:rsidR="00F93C78" w:rsidRDefault="00F93C78">
      <w:pPr>
        <w:spacing w:line="600" w:lineRule="exact"/>
        <w:ind w:firstLineChars="200" w:firstLine="420"/>
        <w:rPr>
          <w:rFonts w:ascii="仿宋" w:eastAsia="仿宋" w:hAnsi="仿宋"/>
        </w:rPr>
      </w:pPr>
    </w:p>
    <w:sectPr w:rsidR="00F93C78" w:rsidSect="00F93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4A" w:rsidRDefault="008A464A" w:rsidP="00800A4E">
      <w:r>
        <w:separator/>
      </w:r>
    </w:p>
  </w:endnote>
  <w:endnote w:type="continuationSeparator" w:id="0">
    <w:p w:rsidR="008A464A" w:rsidRDefault="008A464A" w:rsidP="00800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4A" w:rsidRDefault="008A464A" w:rsidP="00800A4E">
      <w:r>
        <w:separator/>
      </w:r>
    </w:p>
  </w:footnote>
  <w:footnote w:type="continuationSeparator" w:id="0">
    <w:p w:rsidR="008A464A" w:rsidRDefault="008A464A" w:rsidP="00800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43325F"/>
    <w:multiLevelType w:val="singleLevel"/>
    <w:tmpl w:val="DE43325F"/>
    <w:lvl w:ilvl="0">
      <w:start w:val="1"/>
      <w:numFmt w:val="decimal"/>
      <w:suff w:val="nothing"/>
      <w:lvlText w:val="%1、"/>
      <w:lvlJc w:val="left"/>
    </w:lvl>
  </w:abstractNum>
  <w:abstractNum w:abstractNumId="1">
    <w:nsid w:val="519C5FBA"/>
    <w:multiLevelType w:val="singleLevel"/>
    <w:tmpl w:val="519C5FB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362"/>
    <w:rsid w:val="002E6807"/>
    <w:rsid w:val="00336928"/>
    <w:rsid w:val="00336C44"/>
    <w:rsid w:val="00347F9B"/>
    <w:rsid w:val="003C2BBB"/>
    <w:rsid w:val="003E7E8C"/>
    <w:rsid w:val="004A7F48"/>
    <w:rsid w:val="00503E76"/>
    <w:rsid w:val="0056201E"/>
    <w:rsid w:val="00581FCD"/>
    <w:rsid w:val="006D014D"/>
    <w:rsid w:val="00791BD9"/>
    <w:rsid w:val="00800A4E"/>
    <w:rsid w:val="0083763D"/>
    <w:rsid w:val="00873E88"/>
    <w:rsid w:val="008A1DA3"/>
    <w:rsid w:val="008A464A"/>
    <w:rsid w:val="00956362"/>
    <w:rsid w:val="00A626F9"/>
    <w:rsid w:val="00C06221"/>
    <w:rsid w:val="00D9303D"/>
    <w:rsid w:val="00E13133"/>
    <w:rsid w:val="00E45E3F"/>
    <w:rsid w:val="00F93C78"/>
    <w:rsid w:val="01CD3796"/>
    <w:rsid w:val="10F87080"/>
    <w:rsid w:val="40896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C78"/>
    <w:pPr>
      <w:widowControl w:val="0"/>
      <w:jc w:val="both"/>
    </w:pPr>
    <w:rPr>
      <w:rFonts w:ascii="Times New Roman" w:hAnsi="Times New Roman"/>
      <w:kern w:val="2"/>
      <w:sz w:val="21"/>
      <w:szCs w:val="24"/>
    </w:rPr>
  </w:style>
  <w:style w:type="paragraph" w:styleId="2">
    <w:name w:val="heading 2"/>
    <w:basedOn w:val="a"/>
    <w:next w:val="a"/>
    <w:link w:val="2Char"/>
    <w:qFormat/>
    <w:rsid w:val="00F93C7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93C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93C78"/>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F93C78"/>
    <w:rPr>
      <w:color w:val="0000FF" w:themeColor="hyperlink"/>
      <w:u w:val="single"/>
    </w:rPr>
  </w:style>
  <w:style w:type="character" w:customStyle="1" w:styleId="Char0">
    <w:name w:val="页眉 Char"/>
    <w:basedOn w:val="a0"/>
    <w:link w:val="a4"/>
    <w:uiPriority w:val="99"/>
    <w:semiHidden/>
    <w:qFormat/>
    <w:rsid w:val="00F93C7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F93C78"/>
    <w:rPr>
      <w:rFonts w:ascii="Times New Roman" w:eastAsia="宋体" w:hAnsi="Times New Roman" w:cs="Times New Roman"/>
      <w:sz w:val="18"/>
      <w:szCs w:val="18"/>
    </w:rPr>
  </w:style>
  <w:style w:type="character" w:customStyle="1" w:styleId="2Char">
    <w:name w:val="标题 2 Char"/>
    <w:basedOn w:val="a0"/>
    <w:link w:val="2"/>
    <w:qFormat/>
    <w:rsid w:val="00F93C78"/>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4136082-433566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2018-07-31T07:48:00Z</cp:lastPrinted>
  <dcterms:created xsi:type="dcterms:W3CDTF">2016-10-13T05:18:00Z</dcterms:created>
  <dcterms:modified xsi:type="dcterms:W3CDTF">2018-12-12T08:17:00Z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