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2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东安县房改办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2018年1-8月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96.71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93.71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96.71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96.71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59.3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59.3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37.41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37.41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0.4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目标1：公务接待费支出控制得好。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  <w:r>
              <w:rPr>
                <w:rFonts w:hint="eastAsia"/>
                <w:sz w:val="24"/>
              </w:rPr>
              <w:t>部门预决算及三公经费预决算公开：按文件精神及时公开。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>服务工作做得比较好。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三公经费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接待费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0.6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信息公开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部门预算和三公经费预算公开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按文件精神及时公开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促进就业，带动当地 经济发展。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好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服务对象满意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编制和公开过程中还存在许多不足，今后一定及时改正和不断完善，力争将部门决算工作做得更好。要进一步规范财务工作，加强预算管理，完善内部控制，合理支出，厉行节约，提高资金使用效益。</w:t>
            </w:r>
          </w:p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645"/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 w:bidi="ar-SA"/>
              </w:rPr>
              <w:t>进一步规范绩效目标编制</w:t>
            </w:r>
            <w:r>
              <w:rPr>
                <w:rFonts w:hint="default" w:ascii="仿宋_GB2312" w:hAnsi="仿宋_GB2312" w:eastAsia="仿宋_GB2312" w:cs="宋体"/>
                <w:sz w:val="24"/>
                <w:szCs w:val="24"/>
                <w:lang w:val="en-US" w:eastAsia="zh-CN" w:bidi="ar-SA"/>
              </w:rPr>
              <w:t>。在编制项目资金绩效目标时要求指向明确、细化量化、合理可行、相应匹配。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黄爱成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填报人（签章）：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易群林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13762997954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填报日期：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年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 xml:space="preserve">  月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仿宋_GB2312" w:eastAsia="仿宋_GB2312"/>
          <w:bCs/>
          <w:sz w:val="24"/>
        </w:rPr>
        <w:t xml:space="preserve">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0"/>
  <w:drawingGridVerticalSpacing w:val="28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1DF0420"/>
    <w:rsid w:val="4615347B"/>
    <w:rsid w:val="46A16386"/>
    <w:rsid w:val="4DCE139B"/>
    <w:rsid w:val="55793E16"/>
    <w:rsid w:val="586E7408"/>
    <w:rsid w:val="5B553B02"/>
    <w:rsid w:val="5D057973"/>
    <w:rsid w:val="6CED659F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3">
    <w:name w:val="m6"/>
    <w:basedOn w:val="8"/>
    <w:qFormat/>
    <w:uiPriority w:val="0"/>
  </w:style>
  <w:style w:type="character" w:customStyle="1" w:styleId="14">
    <w:name w:val="m3"/>
    <w:basedOn w:val="8"/>
    <w:qFormat/>
    <w:uiPriority w:val="0"/>
  </w:style>
  <w:style w:type="character" w:customStyle="1" w:styleId="15">
    <w:name w:val="m5"/>
    <w:basedOn w:val="8"/>
    <w:qFormat/>
    <w:uiPriority w:val="0"/>
  </w:style>
  <w:style w:type="character" w:customStyle="1" w:styleId="16">
    <w:name w:val="m1"/>
    <w:basedOn w:val="8"/>
    <w:qFormat/>
    <w:uiPriority w:val="0"/>
  </w:style>
  <w:style w:type="character" w:customStyle="1" w:styleId="17">
    <w:name w:val="m4"/>
    <w:basedOn w:val="8"/>
    <w:qFormat/>
    <w:uiPriority w:val="0"/>
  </w:style>
  <w:style w:type="character" w:customStyle="1" w:styleId="18">
    <w:name w:val="m2"/>
    <w:basedOn w:val="8"/>
    <w:uiPriority w:val="0"/>
  </w:style>
  <w:style w:type="character" w:customStyle="1" w:styleId="19">
    <w:name w:val="voice-voicer-speakerprocesser-position-action-ico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2</TotalTime>
  <ScaleCrop>false</ScaleCrop>
  <LinksUpToDate>false</LinksUpToDate>
  <CharactersWithSpaces>1134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2018-12-13T02:50:29Z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