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Times New Roman" w:hAnsi="宋体"/>
          <w:b w:val="0"/>
          <w:bCs w:val="0"/>
          <w:sz w:val="48"/>
          <w:szCs w:val="48"/>
          <w:lang w:val="en-US" w:eastAsia="zh-CN"/>
        </w:rPr>
      </w:pPr>
      <w:bookmarkStart w:id="0" w:name="OLE_LINK1"/>
      <w:bookmarkStart w:id="1" w:name="_Toc339876870"/>
      <w:bookmarkStart w:id="2" w:name="_Toc338666323"/>
      <w:bookmarkStart w:id="3" w:name="_Toc338666135"/>
      <w:bookmarkStart w:id="4" w:name="_Toc338665989"/>
      <w:bookmarkStart w:id="5" w:name="_Toc338665976"/>
      <w:bookmarkStart w:id="32" w:name="_GoBack"/>
      <w:bookmarkEnd w:id="32"/>
      <w:r>
        <w:rPr>
          <w:rFonts w:hint="eastAsia" w:ascii="Times New Roman" w:hAnsi="宋体"/>
          <w:b w:val="0"/>
          <w:bCs w:val="0"/>
          <w:sz w:val="48"/>
          <w:szCs w:val="48"/>
          <w:lang w:val="en-US" w:eastAsia="zh-CN"/>
        </w:rPr>
        <w:t>东安县环境保护局</w:t>
      </w:r>
      <w:r>
        <w:rPr>
          <w:rFonts w:hint="eastAsia" w:ascii="Times New Roman" w:hAnsi="宋体"/>
          <w:b w:val="0"/>
          <w:bCs w:val="0"/>
          <w:sz w:val="48"/>
          <w:szCs w:val="48"/>
          <w:lang w:eastAsia="zh-CN"/>
        </w:rPr>
        <w:t>201</w:t>
      </w:r>
      <w:r>
        <w:rPr>
          <w:rFonts w:hint="eastAsia" w:ascii="Times New Roman" w:hAnsi="宋体"/>
          <w:b w:val="0"/>
          <w:bCs w:val="0"/>
          <w:sz w:val="48"/>
          <w:szCs w:val="48"/>
          <w:lang w:val="en-US" w:eastAsia="zh-CN"/>
        </w:rPr>
        <w:t>7</w:t>
      </w:r>
      <w:r>
        <w:rPr>
          <w:rFonts w:hint="eastAsia" w:ascii="Times New Roman" w:hAnsi="宋体"/>
          <w:b w:val="0"/>
          <w:bCs w:val="0"/>
          <w:sz w:val="48"/>
          <w:szCs w:val="48"/>
          <w:lang w:eastAsia="zh-CN"/>
        </w:rPr>
        <w:t>年度部门</w:t>
      </w:r>
    </w:p>
    <w:p>
      <w:pPr>
        <w:spacing w:line="600" w:lineRule="exact"/>
        <w:jc w:val="center"/>
        <w:rPr>
          <w:rFonts w:ascii="Times New Roman" w:hAnsi="Times New Roman"/>
          <w:b w:val="0"/>
          <w:bCs w:val="0"/>
          <w:sz w:val="48"/>
          <w:szCs w:val="48"/>
        </w:rPr>
      </w:pPr>
      <w:bookmarkStart w:id="6" w:name="_Toc338665977"/>
      <w:bookmarkStart w:id="7" w:name="_Toc338665990"/>
      <w:bookmarkStart w:id="8" w:name="_Toc338666136"/>
      <w:bookmarkStart w:id="9" w:name="_Toc338666324"/>
      <w:bookmarkStart w:id="10" w:name="_Toc339876871"/>
      <w:r>
        <w:rPr>
          <w:rFonts w:hint="eastAsia" w:ascii="Times New Roman" w:hAnsi="宋体"/>
          <w:b w:val="0"/>
          <w:bCs w:val="0"/>
          <w:sz w:val="48"/>
          <w:szCs w:val="48"/>
          <w:lang w:eastAsia="zh-CN"/>
        </w:rPr>
        <w:t>整体支出绩效评价报告</w:t>
      </w:r>
      <w:bookmarkEnd w:id="6"/>
      <w:bookmarkEnd w:id="7"/>
      <w:bookmarkEnd w:id="8"/>
      <w:bookmarkEnd w:id="9"/>
      <w:bookmarkEnd w:id="10"/>
    </w:p>
    <w:p>
      <w:pPr>
        <w:spacing w:before="240" w:beforeLines="100"/>
        <w:jc w:val="center"/>
        <w:rPr>
          <w:rFonts w:eastAsia="黑体"/>
          <w:b/>
          <w:bCs/>
          <w:sz w:val="44"/>
          <w:szCs w:val="44"/>
        </w:rPr>
      </w:pPr>
    </w:p>
    <w:p>
      <w:pPr>
        <w:spacing w:line="700" w:lineRule="exact"/>
        <w:jc w:val="center"/>
        <w:rPr>
          <w:rFonts w:eastAsia="仿宋_GB2312"/>
          <w:sz w:val="28"/>
          <w:szCs w:val="28"/>
        </w:rPr>
      </w:pPr>
      <w:r>
        <w:rPr>
          <w:rFonts w:eastAsia="仿宋_GB2312"/>
          <w:sz w:val="28"/>
          <w:szCs w:val="28"/>
        </w:rPr>
        <w:t>湘永专审字[201</w:t>
      </w:r>
      <w:r>
        <w:rPr>
          <w:rFonts w:hint="eastAsia" w:eastAsia="仿宋_GB2312"/>
          <w:sz w:val="28"/>
          <w:szCs w:val="28"/>
          <w:lang w:val="en-US" w:eastAsia="zh-CN"/>
        </w:rPr>
        <w:t>8</w:t>
      </w:r>
      <w:r>
        <w:rPr>
          <w:rFonts w:eastAsia="仿宋_GB2312"/>
          <w:sz w:val="28"/>
          <w:szCs w:val="28"/>
        </w:rPr>
        <w:t>]第00</w:t>
      </w:r>
      <w:r>
        <w:rPr>
          <w:rFonts w:hint="eastAsia" w:eastAsia="仿宋_GB2312"/>
          <w:sz w:val="28"/>
          <w:szCs w:val="28"/>
          <w:lang w:val="en-US" w:eastAsia="zh-CN"/>
        </w:rPr>
        <w:t>72</w:t>
      </w:r>
      <w:r>
        <w:rPr>
          <w:rFonts w:eastAsia="仿宋_GB2312"/>
          <w:sz w:val="28"/>
          <w:szCs w:val="28"/>
        </w:rPr>
        <w:t>号</w:t>
      </w:r>
    </w:p>
    <w:p>
      <w:pPr>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tabs>
          <w:tab w:val="left" w:pos="4095"/>
        </w:tabs>
        <w:spacing w:line="700" w:lineRule="exact"/>
        <w:rPr>
          <w:sz w:val="44"/>
        </w:rPr>
      </w:pPr>
    </w:p>
    <w:p>
      <w:pPr>
        <w:spacing w:line="600" w:lineRule="exact"/>
        <w:jc w:val="center"/>
        <w:rPr>
          <w:sz w:val="44"/>
        </w:rPr>
      </w:pPr>
    </w:p>
    <w:p>
      <w:pPr>
        <w:spacing w:line="600" w:lineRule="exact"/>
        <w:jc w:val="center"/>
        <w:rPr>
          <w:rFonts w:eastAsia="黑体"/>
          <w:sz w:val="32"/>
        </w:rPr>
      </w:pPr>
      <w:r>
        <w:rPr>
          <w:rFonts w:eastAsia="黑体"/>
          <w:sz w:val="36"/>
        </w:rPr>
        <w:t>湖南永一会计师事务所有限责任公司</w:t>
      </w:r>
    </w:p>
    <w:p>
      <w:pPr>
        <w:pBdr>
          <w:bottom w:val="single" w:color="auto" w:sz="12" w:space="0"/>
        </w:pBdr>
        <w:spacing w:line="600" w:lineRule="exact"/>
        <w:jc w:val="center"/>
        <w:rPr>
          <w:rFonts w:eastAsia="华文细黑"/>
          <w:sz w:val="30"/>
        </w:rPr>
      </w:pPr>
      <w:r>
        <w:rPr>
          <w:rFonts w:eastAsia="华文细黑"/>
          <w:sz w:val="30"/>
        </w:rPr>
        <w:t>HUNAN YONG YI CERTIFIED PUBLIC ACCOUNTANTS.LTD</w:t>
      </w:r>
    </w:p>
    <w:p>
      <w:pPr>
        <w:spacing w:line="600" w:lineRule="exact"/>
        <w:ind w:firstLine="750" w:firstLineChars="250"/>
        <w:rPr>
          <w:sz w:val="30"/>
        </w:rPr>
      </w:pPr>
      <w:r>
        <w:rPr>
          <w:rFonts w:hAnsi="宋体"/>
          <w:sz w:val="30"/>
        </w:rPr>
        <w:t>地址：永州市冷水滩区翠竹路（香河城）</w:t>
      </w:r>
      <w:r>
        <w:rPr>
          <w:sz w:val="30"/>
        </w:rPr>
        <w:t>4A-H</w:t>
      </w:r>
    </w:p>
    <w:p>
      <w:pPr>
        <w:spacing w:line="600" w:lineRule="exact"/>
        <w:ind w:firstLine="750" w:firstLineChars="250"/>
        <w:rPr>
          <w:sz w:val="30"/>
        </w:rPr>
      </w:pPr>
      <w:r>
        <w:rPr>
          <w:rFonts w:hAnsi="宋体"/>
          <w:sz w:val="30"/>
        </w:rPr>
        <w:t>电话：</w:t>
      </w:r>
      <w:r>
        <w:rPr>
          <w:sz w:val="30"/>
        </w:rPr>
        <w:t>0746-8335180</w:t>
      </w:r>
      <w:r>
        <w:rPr>
          <w:rFonts w:hAnsi="宋体"/>
          <w:sz w:val="30"/>
        </w:rPr>
        <w:t>　　　　　传真：</w:t>
      </w:r>
      <w:r>
        <w:rPr>
          <w:sz w:val="30"/>
        </w:rPr>
        <w:t>0746-8335180</w:t>
      </w:r>
      <w:bookmarkEnd w:id="0"/>
    </w:p>
    <w:p>
      <w:pPr>
        <w:rPr>
          <w:rFonts w:hint="default" w:ascii="Times New Roman" w:hAnsi="Times New Roman" w:cs="Times New Roman"/>
          <w:szCs w:val="28"/>
        </w:rPr>
      </w:pPr>
    </w:p>
    <w:p>
      <w:pPr>
        <w:spacing w:line="400" w:lineRule="exact"/>
        <w:rPr>
          <w:rFonts w:hint="default" w:ascii="Times New Roman" w:hAnsi="Times New Roman" w:cs="Times New Roman"/>
          <w:b/>
          <w:bCs/>
          <w:sz w:val="36"/>
          <w:szCs w:val="36"/>
        </w:rPr>
        <w:sectPr>
          <w:headerReference r:id="rId3" w:type="default"/>
          <w:footerReference r:id="rId4" w:type="default"/>
          <w:pgSz w:w="11906" w:h="16838"/>
          <w:pgMar w:top="2665" w:right="1247" w:bottom="2268" w:left="1587" w:header="851" w:footer="850" w:gutter="0"/>
          <w:paperSrc/>
          <w:pgBorders>
            <w:top w:val="none" w:sz="0" w:space="0"/>
            <w:left w:val="none" w:sz="0" w:space="0"/>
            <w:bottom w:val="none" w:sz="0" w:space="0"/>
            <w:right w:val="none" w:sz="0" w:space="0"/>
          </w:pgBorders>
          <w:pgNumType w:start="1"/>
          <w:cols w:space="720" w:num="1"/>
          <w:rtlGutter w:val="0"/>
          <w:docGrid w:type="lines" w:linePitch="312" w:charSpace="0"/>
        </w:sectPr>
      </w:pPr>
    </w:p>
    <w:p>
      <w:pPr>
        <w:spacing w:line="400" w:lineRule="exact"/>
        <w:ind w:firstLine="3596" w:firstLineChars="995"/>
        <w:rPr>
          <w:rFonts w:hint="default" w:ascii="Times New Roman" w:hAnsi="Times New Roman" w:cs="Times New Roman"/>
          <w:b/>
          <w:bCs/>
          <w:sz w:val="36"/>
          <w:szCs w:val="36"/>
        </w:rPr>
      </w:pPr>
      <w:r>
        <w:rPr>
          <w:rFonts w:hint="default" w:ascii="Times New Roman" w:hAnsi="Times New Roman" w:cs="Times New Roman"/>
          <w:b/>
          <w:bCs/>
          <w:sz w:val="36"/>
          <w:szCs w:val="36"/>
        </w:rPr>
        <w:t>目   录</w:t>
      </w:r>
    </w:p>
    <w:p>
      <w:pPr>
        <w:spacing w:line="400" w:lineRule="exact"/>
        <w:ind w:firstLine="3596" w:firstLineChars="995"/>
        <w:rPr>
          <w:rFonts w:hint="default" w:ascii="Times New Roman" w:hAnsi="Times New Roman" w:cs="Times New Roman"/>
          <w:b/>
          <w:bCs/>
          <w:sz w:val="36"/>
          <w:szCs w:val="36"/>
        </w:rPr>
      </w:pPr>
    </w:p>
    <w:p>
      <w:pPr>
        <w:pStyle w:val="13"/>
        <w:spacing w:line="460" w:lineRule="exact"/>
        <w:rPr>
          <w:rStyle w:val="26"/>
          <w:rFonts w:hint="default" w:ascii="Times New Roman" w:hAnsi="Times New Roman" w:cs="Times New Roman"/>
        </w:rPr>
      </w:pPr>
      <w:r>
        <w:rPr>
          <w:rFonts w:hint="default" w:ascii="Times New Roman" w:hAnsi="Times New Roman" w:cs="Times New Roman"/>
          <w:bCs/>
          <w:sz w:val="28"/>
          <w:szCs w:val="28"/>
        </w:rPr>
        <w:fldChar w:fldCharType="begin"/>
      </w:r>
      <w:r>
        <w:rPr>
          <w:rFonts w:hint="default" w:ascii="Times New Roman" w:hAnsi="Times New Roman" w:cs="Times New Roman"/>
          <w:bCs/>
          <w:sz w:val="28"/>
          <w:szCs w:val="28"/>
        </w:rPr>
        <w:instrText xml:space="preserve"> TOC \o "1-2" \h \z \u </w:instrText>
      </w:r>
      <w:r>
        <w:rPr>
          <w:rFonts w:hint="default" w:ascii="Times New Roman" w:hAnsi="Times New Roman" w:cs="Times New Roman"/>
          <w:bCs/>
          <w:sz w:val="28"/>
          <w:szCs w:val="28"/>
        </w:rPr>
        <w:fldChar w:fldCharType="separate"/>
      </w:r>
      <w:r>
        <w:rPr>
          <w:rFonts w:hint="default" w:ascii="Times New Roman" w:hAnsi="Times New Roman" w:cs="Times New Roman"/>
        </w:rPr>
        <w:fldChar w:fldCharType="begin"/>
      </w:r>
      <w:r>
        <w:rPr>
          <w:rStyle w:val="26"/>
          <w:rFonts w:hint="default" w:ascii="Times New Roman" w:hAnsi="Times New Roman" w:cs="Times New Roman"/>
        </w:rPr>
        <w:instrText xml:space="preserve"> HYPERLINK \l "_Toc413785897" </w:instrText>
      </w:r>
      <w:r>
        <w:rPr>
          <w:rFonts w:hint="default" w:ascii="Times New Roman" w:hAnsi="Times New Roman" w:cs="Times New Roman"/>
        </w:rPr>
        <w:fldChar w:fldCharType="separate"/>
      </w:r>
      <w:r>
        <w:rPr>
          <w:rStyle w:val="26"/>
          <w:rFonts w:hint="default" w:ascii="Times New Roman" w:hAnsi="Times New Roman" w:cs="Times New Roman"/>
        </w:rPr>
        <w:t>一、基本概况</w:t>
      </w:r>
      <w:r>
        <w:rPr>
          <w:rStyle w:val="26"/>
          <w:rFonts w:hint="default" w:ascii="Times New Roman" w:hAnsi="Times New Roman" w:cs="Times New Roman"/>
        </w:rPr>
        <w:tab/>
      </w:r>
      <w:r>
        <w:rPr>
          <w:rFonts w:hint="default" w:ascii="Times New Roman" w:hAnsi="Times New Roman" w:cs="Times New Roman"/>
        </w:rPr>
        <w:fldChar w:fldCharType="end"/>
      </w:r>
      <w:r>
        <w:rPr>
          <w:rStyle w:val="26"/>
          <w:rFonts w:hint="default" w:ascii="Times New Roman" w:hAnsi="Times New Roman" w:cs="Times New Roman"/>
          <w:lang w:val="en-US" w:eastAsia="zh-CN"/>
        </w:rPr>
        <w:t>2</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rPr>
        <w:instrText xml:space="preserve">HYPERLINK \l "_Toc413785898"</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（一）机构设置</w:t>
      </w:r>
      <w:r>
        <w:rPr>
          <w:rStyle w:val="26"/>
          <w:rFonts w:hint="default" w:ascii="Times New Roman" w:hAnsi="Times New Roman" w:cs="Times New Roman"/>
        </w:rPr>
        <w:tab/>
      </w:r>
      <w:r>
        <w:rPr>
          <w:rFonts w:hint="default" w:ascii="Times New Roman" w:hAnsi="Times New Roman" w:cs="Times New Roman"/>
          <w:sz w:val="24"/>
          <w:lang/>
        </w:rPr>
        <w:fldChar w:fldCharType="end"/>
      </w:r>
      <w:r>
        <w:rPr>
          <w:rStyle w:val="26"/>
          <w:rFonts w:hint="default" w:ascii="Times New Roman" w:hAnsi="Times New Roman" w:cs="Times New Roman"/>
          <w:sz w:val="24"/>
        </w:rPr>
        <w:t>2</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"_Toc413785899"</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（二）人员编制</w:t>
      </w:r>
      <w:r>
        <w:rPr>
          <w:rStyle w:val="26"/>
          <w:rFonts w:hint="default" w:ascii="Times New Roman" w:hAnsi="Times New Roman" w:cs="Times New Roman"/>
          <w:sz w:val="24"/>
        </w:rPr>
        <w:tab/>
      </w:r>
      <w:r>
        <w:rPr>
          <w:rFonts w:hint="default" w:ascii="Times New Roman" w:hAnsi="Times New Roman" w:cs="Times New Roman"/>
          <w:sz w:val="24"/>
          <w:lang/>
        </w:rPr>
        <w:fldChar w:fldCharType="end"/>
      </w:r>
      <w:r>
        <w:rPr>
          <w:rFonts w:hint="default" w:ascii="Times New Roman" w:hAnsi="Times New Roman" w:cs="Times New Roman"/>
          <w:sz w:val="24"/>
        </w:rPr>
        <w:t>2</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"_Toc413785900"</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（三）主要</w:t>
      </w:r>
      <w:r>
        <w:rPr>
          <w:rStyle w:val="26"/>
          <w:rFonts w:hint="default" w:ascii="Times New Roman" w:hAnsi="Times New Roman" w:cs="Times New Roman"/>
          <w:sz w:val="24"/>
        </w:rPr>
        <w:t>职责</w:t>
      </w:r>
      <w:r>
        <w:rPr>
          <w:rStyle w:val="26"/>
          <w:rFonts w:hint="default" w:ascii="Times New Roman" w:hAnsi="Times New Roman" w:cs="Times New Roman"/>
          <w:sz w:val="24"/>
        </w:rPr>
        <w:tab/>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3</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"_Toc413785901"</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（四）部门整体支出管理办法</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7</w:t>
      </w:r>
      <w:r>
        <w:rPr>
          <w:rFonts w:hint="default" w:ascii="Times New Roman" w:hAnsi="Times New Roman" w:cs="Times New Roman"/>
          <w:sz w:val="24"/>
          <w:lang/>
        </w:rPr>
        <w:fldChar w:fldCharType="end"/>
      </w:r>
    </w:p>
    <w:p>
      <w:pPr>
        <w:pStyle w:val="13"/>
        <w:spacing w:line="460" w:lineRule="exact"/>
        <w:rPr>
          <w:rStyle w:val="26"/>
          <w:rFonts w:hint="default" w:ascii="Times New Roman" w:hAnsi="Times New Roman" w:cs="Times New Roman"/>
          <w:b w:val="0"/>
        </w:rPr>
      </w:pPr>
      <w:r>
        <w:rPr>
          <w:rFonts w:hint="default" w:ascii="Times New Roman" w:hAnsi="Times New Roman" w:cs="Times New Roman"/>
          <w:b w:val="0"/>
        </w:rPr>
        <w:fldChar w:fldCharType="begin"/>
      </w:r>
      <w:r>
        <w:rPr>
          <w:rStyle w:val="26"/>
          <w:rFonts w:hint="default" w:ascii="Times New Roman" w:hAnsi="Times New Roman" w:cs="Times New Roman"/>
          <w:b w:val="0"/>
        </w:rPr>
        <w:instrText xml:space="preserve"> HYPERLINK \l "_Toc413785902" </w:instrText>
      </w:r>
      <w:r>
        <w:rPr>
          <w:rFonts w:hint="default" w:ascii="Times New Roman" w:hAnsi="Times New Roman" w:cs="Times New Roman"/>
          <w:b w:val="0"/>
        </w:rPr>
        <w:fldChar w:fldCharType="separate"/>
      </w:r>
      <w:r>
        <w:rPr>
          <w:rStyle w:val="26"/>
          <w:rFonts w:hint="default" w:ascii="Times New Roman" w:hAnsi="Times New Roman" w:cs="Times New Roman"/>
        </w:rPr>
        <w:t>二、部门整体支出规模、使用方向和内容</w:t>
      </w:r>
      <w:r>
        <w:rPr>
          <w:rStyle w:val="26"/>
          <w:rFonts w:hint="default" w:ascii="Times New Roman" w:hAnsi="Times New Roman" w:cs="Times New Roman"/>
          <w:b w:val="0"/>
        </w:rPr>
        <w:tab/>
      </w:r>
      <w:r>
        <w:rPr>
          <w:rStyle w:val="26"/>
          <w:rFonts w:hint="eastAsia" w:ascii="Times New Roman" w:hAnsi="Times New Roman" w:cs="Times New Roman"/>
          <w:b w:val="0"/>
          <w:lang w:val="en-US" w:eastAsia="zh-CN"/>
        </w:rPr>
        <w:t>7</w:t>
      </w:r>
      <w:r>
        <w:rPr>
          <w:rFonts w:hint="default" w:ascii="Times New Roman" w:hAnsi="Times New Roman" w:cs="Times New Roman"/>
          <w:b w:val="0"/>
        </w:rPr>
        <w:fldChar w:fldCharType="end"/>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"_Toc413785903"</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（一）年度预算收支情况</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7</w:t>
      </w:r>
      <w:r>
        <w:rPr>
          <w:rFonts w:hint="default" w:ascii="Times New Roman" w:hAnsi="Times New Roman" w:cs="Times New Roman"/>
          <w:sz w:val="24"/>
          <w:lang/>
        </w:rPr>
        <w:fldChar w:fldCharType="end"/>
      </w:r>
    </w:p>
    <w:p>
      <w:pPr>
        <w:pStyle w:val="14"/>
        <w:tabs>
          <w:tab w:val="right" w:leader="dot" w:pos="8296"/>
        </w:tabs>
        <w:spacing w:line="460" w:lineRule="exact"/>
        <w:rPr>
          <w:rFonts w:hint="default" w:ascii="Times New Roman" w:hAnsi="Times New Roman" w:cs="Times New Roman"/>
          <w:sz w:val="24"/>
          <w:lang/>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"_Toc413785904"</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（二）</w:t>
      </w:r>
      <w:r>
        <w:rPr>
          <w:rStyle w:val="26"/>
          <w:rFonts w:hint="default" w:ascii="Times New Roman" w:hAnsi="Times New Roman" w:cs="Times New Roman"/>
          <w:sz w:val="24"/>
        </w:rPr>
        <w:t>本级</w:t>
      </w:r>
      <w:r>
        <w:rPr>
          <w:rStyle w:val="26"/>
          <w:rFonts w:hint="default" w:ascii="Times New Roman" w:hAnsi="Times New Roman" w:cs="Times New Roman"/>
          <w:sz w:val="24"/>
          <w:lang/>
        </w:rPr>
        <w:t>预算支</w:t>
      </w:r>
      <w:r>
        <w:rPr>
          <w:rStyle w:val="26"/>
          <w:rFonts w:hint="default" w:ascii="Times New Roman" w:hAnsi="Times New Roman" w:cs="Times New Roman"/>
          <w:sz w:val="24"/>
        </w:rPr>
        <w:t>出、实际支出及</w:t>
      </w:r>
      <w:r>
        <w:rPr>
          <w:rStyle w:val="26"/>
          <w:rFonts w:hint="default" w:ascii="Times New Roman" w:hAnsi="Times New Roman" w:cs="Times New Roman"/>
          <w:sz w:val="24"/>
          <w:lang/>
        </w:rPr>
        <w:t>结余情况</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9</w:t>
      </w:r>
      <w:r>
        <w:rPr>
          <w:rFonts w:hint="default" w:ascii="Times New Roman" w:hAnsi="Times New Roman" w:cs="Times New Roman"/>
          <w:sz w:val="24"/>
          <w:lang/>
        </w:rPr>
        <w:fldChar w:fldCharType="end"/>
      </w:r>
    </w:p>
    <w:p>
      <w:pPr>
        <w:pStyle w:val="13"/>
        <w:spacing w:line="460" w:lineRule="exact"/>
        <w:rPr>
          <w:rStyle w:val="26"/>
          <w:rFonts w:hint="default" w:ascii="Times New Roman" w:hAnsi="Times New Roman" w:cs="Times New Roman"/>
        </w:rPr>
      </w:pPr>
      <w:r>
        <w:rPr>
          <w:rFonts w:hint="default" w:ascii="Times New Roman" w:hAnsi="Times New Roman" w:cs="Times New Roman"/>
        </w:rPr>
        <w:fldChar w:fldCharType="begin"/>
      </w:r>
      <w:r>
        <w:rPr>
          <w:rStyle w:val="26"/>
          <w:rFonts w:hint="default" w:ascii="Times New Roman" w:hAnsi="Times New Roman" w:cs="Times New Roman"/>
        </w:rPr>
        <w:instrText xml:space="preserve"> HYPERLINK \l "_Toc413785905" </w:instrText>
      </w:r>
      <w:r>
        <w:rPr>
          <w:rFonts w:hint="default" w:ascii="Times New Roman" w:hAnsi="Times New Roman" w:cs="Times New Roman"/>
        </w:rPr>
        <w:fldChar w:fldCharType="separate"/>
      </w:r>
      <w:r>
        <w:rPr>
          <w:rStyle w:val="26"/>
          <w:rFonts w:hint="default" w:ascii="Times New Roman" w:hAnsi="Times New Roman" w:cs="Times New Roman"/>
        </w:rPr>
        <w:t>三、部门整体支出管理及使</w:t>
      </w:r>
      <w:bookmarkStart w:id="11" w:name="_Hlt413938150"/>
      <w:r>
        <w:rPr>
          <w:rStyle w:val="26"/>
          <w:rFonts w:hint="default" w:ascii="Times New Roman" w:hAnsi="Times New Roman" w:cs="Times New Roman"/>
        </w:rPr>
        <w:t>用</w:t>
      </w:r>
      <w:bookmarkEnd w:id="11"/>
      <w:r>
        <w:rPr>
          <w:rStyle w:val="26"/>
          <w:rFonts w:hint="default" w:ascii="Times New Roman" w:hAnsi="Times New Roman" w:cs="Times New Roman"/>
        </w:rPr>
        <w:t>情况</w:t>
      </w:r>
      <w:r>
        <w:rPr>
          <w:rStyle w:val="26"/>
          <w:rFonts w:hint="default" w:ascii="Times New Roman" w:hAnsi="Times New Roman" w:cs="Times New Roman"/>
        </w:rPr>
        <w:tab/>
      </w:r>
      <w:r>
        <w:rPr>
          <w:rStyle w:val="26"/>
          <w:rFonts w:hint="eastAsia" w:ascii="Times New Roman" w:hAnsi="Times New Roman" w:cs="Times New Roman"/>
          <w:lang w:val="en-US" w:eastAsia="zh-CN"/>
        </w:rPr>
        <w:t>1</w:t>
      </w:r>
      <w:r>
        <w:rPr>
          <w:rFonts w:hint="default" w:ascii="Times New Roman" w:hAnsi="Times New Roman" w:cs="Times New Roman"/>
        </w:rPr>
        <w:fldChar w:fldCharType="end"/>
      </w:r>
      <w:r>
        <w:rPr>
          <w:rFonts w:hint="eastAsia" w:ascii="Times New Roman" w:hAnsi="Times New Roman" w:cs="Times New Roman"/>
          <w:lang w:val="en-US" w:eastAsia="zh-CN"/>
        </w:rPr>
        <w:t>0</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"_Toc413785906"</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（一）基本支出</w:t>
      </w:r>
      <w:r>
        <w:rPr>
          <w:rStyle w:val="26"/>
          <w:rFonts w:hint="default" w:ascii="Times New Roman" w:hAnsi="Times New Roman" w:cs="Times New Roman"/>
          <w:sz w:val="24"/>
        </w:rPr>
        <w:t>预收执行和</w:t>
      </w:r>
      <w:r>
        <w:rPr>
          <w:rStyle w:val="26"/>
          <w:rFonts w:hint="default" w:ascii="Times New Roman" w:hAnsi="Times New Roman" w:cs="Times New Roman"/>
          <w:sz w:val="24"/>
          <w:lang/>
        </w:rPr>
        <w:t>管理情况</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1</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0</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"_Toc413785907"</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（二）“三公经费”支出使用和管理</w:t>
      </w:r>
      <w:bookmarkStart w:id="12" w:name="_Hlt413938160"/>
      <w:r>
        <w:rPr>
          <w:rStyle w:val="26"/>
          <w:rFonts w:hint="default" w:ascii="Times New Roman" w:hAnsi="Times New Roman" w:cs="Times New Roman"/>
          <w:sz w:val="24"/>
          <w:lang/>
        </w:rPr>
        <w:t>情</w:t>
      </w:r>
      <w:bookmarkEnd w:id="12"/>
      <w:r>
        <w:rPr>
          <w:rStyle w:val="26"/>
          <w:rFonts w:hint="default" w:ascii="Times New Roman" w:hAnsi="Times New Roman" w:cs="Times New Roman"/>
          <w:sz w:val="24"/>
          <w:lang/>
        </w:rPr>
        <w:t>况</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1</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3</w:t>
      </w:r>
    </w:p>
    <w:p>
      <w:pPr>
        <w:pStyle w:val="13"/>
        <w:spacing w:line="460" w:lineRule="exact"/>
        <w:rPr>
          <w:rStyle w:val="26"/>
          <w:rFonts w:hint="default" w:ascii="Times New Roman" w:hAnsi="Times New Roman" w:cs="Times New Roman"/>
        </w:rPr>
      </w:pPr>
      <w:r>
        <w:rPr>
          <w:rFonts w:hint="default" w:ascii="Times New Roman" w:hAnsi="Times New Roman" w:cs="Times New Roman"/>
        </w:rPr>
        <w:fldChar w:fldCharType="begin"/>
      </w:r>
      <w:r>
        <w:rPr>
          <w:rStyle w:val="26"/>
          <w:rFonts w:hint="default" w:ascii="Times New Roman" w:hAnsi="Times New Roman" w:cs="Times New Roman"/>
        </w:rPr>
        <w:instrText xml:space="preserve"> HYPERLINK \l "_Toc413785910" </w:instrText>
      </w:r>
      <w:r>
        <w:rPr>
          <w:rFonts w:hint="default" w:ascii="Times New Roman" w:hAnsi="Times New Roman" w:cs="Times New Roman"/>
        </w:rPr>
        <w:fldChar w:fldCharType="separate"/>
      </w:r>
      <w:r>
        <w:rPr>
          <w:rStyle w:val="26"/>
          <w:rFonts w:hint="default" w:ascii="Times New Roman" w:hAnsi="Times New Roman" w:cs="Times New Roman"/>
          <w:lang w:eastAsia="zh-CN"/>
        </w:rPr>
        <w:t>四</w:t>
      </w:r>
      <w:r>
        <w:rPr>
          <w:rStyle w:val="26"/>
          <w:rFonts w:hint="default" w:ascii="Times New Roman" w:hAnsi="Times New Roman" w:cs="Times New Roman"/>
        </w:rPr>
        <w:t>、部门整体支出绩效情况</w:t>
      </w:r>
      <w:r>
        <w:rPr>
          <w:rStyle w:val="26"/>
          <w:rFonts w:hint="default" w:ascii="Times New Roman" w:hAnsi="Times New Roman" w:cs="Times New Roman"/>
        </w:rPr>
        <w:tab/>
      </w:r>
      <w:r>
        <w:rPr>
          <w:rFonts w:hint="eastAsia" w:ascii="Times New Roman" w:hAnsi="Times New Roman" w:cs="Times New Roman"/>
          <w:lang w:val="en-US" w:eastAsia="zh-CN"/>
        </w:rPr>
        <w:t>1</w:t>
      </w:r>
      <w:r>
        <w:rPr>
          <w:rFonts w:hint="default" w:ascii="Times New Roman" w:hAnsi="Times New Roman" w:cs="Times New Roman"/>
        </w:rPr>
        <w:fldChar w:fldCharType="end"/>
      </w:r>
      <w:r>
        <w:rPr>
          <w:rFonts w:hint="eastAsia" w:ascii="Times New Roman" w:hAnsi="Times New Roman" w:cs="Times New Roman"/>
          <w:lang w:val="en-US" w:eastAsia="zh-CN"/>
        </w:rPr>
        <w:t>6</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"_Toc413785911"</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（一）经济性评</w:t>
      </w:r>
      <w:bookmarkStart w:id="13" w:name="_Hlt413938495"/>
      <w:r>
        <w:rPr>
          <w:rStyle w:val="26"/>
          <w:rFonts w:hint="default" w:ascii="Times New Roman" w:hAnsi="Times New Roman" w:cs="Times New Roman"/>
          <w:sz w:val="24"/>
          <w:lang/>
        </w:rPr>
        <w:t>价</w:t>
      </w:r>
      <w:bookmarkEnd w:id="13"/>
      <w:r>
        <w:rPr>
          <w:rStyle w:val="26"/>
          <w:rFonts w:hint="default" w:ascii="Times New Roman" w:hAnsi="Times New Roman" w:cs="Times New Roman"/>
          <w:sz w:val="24"/>
        </w:rPr>
        <w:tab/>
      </w:r>
      <w:r>
        <w:rPr>
          <w:rFonts w:hint="eastAsia" w:ascii="Times New Roman" w:hAnsi="Times New Roman" w:cs="Times New Roman"/>
          <w:sz w:val="24"/>
          <w:lang w:val="en-US" w:eastAsia="zh-CN"/>
        </w:rPr>
        <w:t>1</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6</w:t>
      </w:r>
    </w:p>
    <w:p>
      <w:pPr>
        <w:pStyle w:val="14"/>
        <w:tabs>
          <w:tab w:val="right" w:leader="dot" w:pos="8296"/>
        </w:tabs>
        <w:spacing w:line="460" w:lineRule="exact"/>
        <w:rPr>
          <w:rFonts w:hint="eastAsia" w:ascii="Times New Roman" w:hAnsi="Times New Roman" w:cs="Times New Roman"/>
          <w:sz w:val="24"/>
          <w:lang w:val="en-US" w:eastAsia="zh-CN"/>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"_Toc413785913"</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w:t>
      </w:r>
      <w:r>
        <w:rPr>
          <w:rStyle w:val="26"/>
          <w:rFonts w:hint="default" w:ascii="Times New Roman" w:hAnsi="Times New Roman" w:cs="Times New Roman"/>
          <w:sz w:val="24"/>
        </w:rPr>
        <w:t>二</w:t>
      </w:r>
      <w:r>
        <w:rPr>
          <w:rStyle w:val="26"/>
          <w:rFonts w:hint="default" w:ascii="Times New Roman" w:hAnsi="Times New Roman" w:cs="Times New Roman"/>
          <w:sz w:val="24"/>
          <w:lang/>
        </w:rPr>
        <w:t>）</w:t>
      </w:r>
      <w:r>
        <w:rPr>
          <w:rFonts w:hint="eastAsia" w:ascii="宋体" w:hAnsi="宋体" w:eastAsia="宋体" w:cs="宋体"/>
          <w:b w:val="0"/>
          <w:bCs w:val="0"/>
          <w:color w:val="333333"/>
          <w:sz w:val="24"/>
          <w:szCs w:val="24"/>
          <w:shd w:val="clear" w:color="auto" w:fill="FFFFFF"/>
        </w:rPr>
        <w:t>效率性评价和有效性评价</w:t>
      </w:r>
      <w:r>
        <w:rPr>
          <w:rStyle w:val="26"/>
          <w:rFonts w:hint="default" w:ascii="Times New Roman" w:hAnsi="Times New Roman" w:cs="Times New Roman"/>
          <w:sz w:val="24"/>
        </w:rPr>
        <w:tab/>
      </w:r>
      <w:r>
        <w:rPr>
          <w:rFonts w:hint="default" w:ascii="Times New Roman" w:hAnsi="Times New Roman" w:cs="Times New Roman"/>
          <w:sz w:val="24"/>
        </w:rPr>
        <w:t>1</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7</w:t>
      </w:r>
    </w:p>
    <w:p>
      <w:pPr>
        <w:pStyle w:val="14"/>
        <w:tabs>
          <w:tab w:val="right" w:leader="dot" w:pos="8296"/>
        </w:tabs>
        <w:spacing w:line="460" w:lineRule="exact"/>
        <w:rPr>
          <w:rFonts w:hint="default"/>
        </w:rPr>
      </w:pPr>
      <w:r>
        <w:rPr>
          <w:rFonts w:hint="default" w:ascii="Times New Roman" w:hAnsi="Times New Roman" w:cs="Times New Roman"/>
          <w:sz w:val="24"/>
        </w:rPr>
        <w:fldChar w:fldCharType="begin"/>
      </w:r>
      <w:r>
        <w:rPr>
          <w:rStyle w:val="26"/>
          <w:rFonts w:hint="default" w:ascii="Times New Roman" w:hAnsi="Times New Roman" w:cs="Times New Roman"/>
          <w:sz w:val="24"/>
        </w:rPr>
        <w:instrText xml:space="preserve"> HYPERLINK \l "_Toc413785913" </w:instrText>
      </w:r>
      <w:r>
        <w:rPr>
          <w:rFonts w:hint="default" w:ascii="Times New Roman" w:hAnsi="Times New Roman" w:cs="Times New Roman"/>
          <w:sz w:val="24"/>
        </w:rPr>
        <w:fldChar w:fldCharType="separate"/>
      </w:r>
      <w:r>
        <w:rPr>
          <w:rStyle w:val="26"/>
          <w:rFonts w:hint="default" w:ascii="Times New Roman" w:hAnsi="Times New Roman" w:cs="Times New Roman"/>
          <w:sz w:val="24"/>
          <w:highlight w:val="none"/>
        </w:rPr>
        <w:t>（</w:t>
      </w:r>
      <w:r>
        <w:rPr>
          <w:rStyle w:val="26"/>
          <w:rFonts w:hint="eastAsia" w:ascii="Times New Roman" w:hAnsi="Times New Roman" w:cs="Times New Roman"/>
          <w:sz w:val="24"/>
          <w:highlight w:val="none"/>
          <w:lang w:eastAsia="zh-CN"/>
        </w:rPr>
        <w:t>三</w:t>
      </w:r>
      <w:r>
        <w:rPr>
          <w:rStyle w:val="26"/>
          <w:rFonts w:hint="default" w:ascii="Times New Roman" w:hAnsi="Times New Roman" w:cs="Times New Roman"/>
          <w:sz w:val="24"/>
          <w:highlight w:val="none"/>
        </w:rPr>
        <w:t>）</w:t>
      </w:r>
      <w:r>
        <w:rPr>
          <w:rStyle w:val="26"/>
          <w:rFonts w:hint="default" w:ascii="Times New Roman" w:hAnsi="Times New Roman" w:cs="Times New Roman"/>
          <w:sz w:val="24"/>
        </w:rPr>
        <w:t>社会公众满意度评价</w:t>
      </w:r>
      <w:r>
        <w:rPr>
          <w:rStyle w:val="26"/>
          <w:rFonts w:hint="default" w:ascii="Times New Roman" w:hAnsi="Times New Roman" w:cs="Times New Roman"/>
          <w:sz w:val="24"/>
        </w:rPr>
        <w:tab/>
      </w:r>
      <w:r>
        <w:rPr>
          <w:rFonts w:hint="default" w:ascii="Times New Roman" w:hAnsi="Times New Roman" w:cs="Times New Roman"/>
          <w:sz w:val="24"/>
        </w:rPr>
        <w:fldChar w:fldCharType="end"/>
      </w:r>
      <w:r>
        <w:rPr>
          <w:rFonts w:hint="eastAsia" w:ascii="Times New Roman" w:hAnsi="Times New Roman" w:cs="Times New Roman"/>
          <w:sz w:val="24"/>
          <w:lang w:val="en-US" w:eastAsia="zh-CN"/>
        </w:rPr>
        <w:t>20</w:t>
      </w:r>
    </w:p>
    <w:p>
      <w:pPr>
        <w:pStyle w:val="13"/>
        <w:spacing w:line="460" w:lineRule="exact"/>
        <w:rPr>
          <w:rStyle w:val="26"/>
          <w:rFonts w:hint="default" w:ascii="Times New Roman" w:hAnsi="Times New Roman" w:cs="Times New Roman"/>
        </w:rPr>
      </w:pPr>
      <w:r>
        <w:rPr>
          <w:rFonts w:hint="default" w:ascii="Times New Roman" w:hAnsi="Times New Roman" w:cs="Times New Roman"/>
        </w:rPr>
        <w:fldChar w:fldCharType="begin"/>
      </w:r>
      <w:r>
        <w:rPr>
          <w:rStyle w:val="26"/>
          <w:rFonts w:hint="default" w:ascii="Times New Roman" w:hAnsi="Times New Roman" w:cs="Times New Roman"/>
        </w:rPr>
        <w:instrText xml:space="preserve"> HYPERLINK \l "_Toc413785914" </w:instrText>
      </w:r>
      <w:r>
        <w:rPr>
          <w:rFonts w:hint="default" w:ascii="Times New Roman" w:hAnsi="Times New Roman" w:cs="Times New Roman"/>
        </w:rPr>
        <w:fldChar w:fldCharType="separate"/>
      </w:r>
      <w:r>
        <w:rPr>
          <w:rStyle w:val="26"/>
          <w:rFonts w:hint="default" w:ascii="Times New Roman" w:hAnsi="Times New Roman" w:cs="Times New Roman"/>
          <w:lang w:eastAsia="zh-CN"/>
        </w:rPr>
        <w:t>五</w:t>
      </w:r>
      <w:r>
        <w:rPr>
          <w:rStyle w:val="26"/>
          <w:rFonts w:hint="default" w:ascii="Times New Roman" w:hAnsi="Times New Roman" w:cs="Times New Roman"/>
        </w:rPr>
        <w:t>、存在的主要问题</w:t>
      </w:r>
      <w:r>
        <w:rPr>
          <w:rStyle w:val="26"/>
          <w:rFonts w:hint="default" w:ascii="Times New Roman" w:hAnsi="Times New Roman" w:cs="Times New Roman"/>
        </w:rPr>
        <w:tab/>
      </w:r>
      <w:r>
        <w:rPr>
          <w:rFonts w:hint="eastAsia" w:ascii="Times New Roman" w:hAnsi="Times New Roman" w:cs="Times New Roman"/>
          <w:lang w:val="en-US" w:eastAsia="zh-CN"/>
        </w:rPr>
        <w:t>2</w:t>
      </w:r>
      <w:r>
        <w:rPr>
          <w:rFonts w:hint="default" w:ascii="Times New Roman" w:hAnsi="Times New Roman" w:cs="Times New Roman"/>
        </w:rPr>
        <w:fldChar w:fldCharType="end"/>
      </w:r>
      <w:r>
        <w:rPr>
          <w:rFonts w:hint="eastAsia" w:ascii="Times New Roman" w:hAnsi="Times New Roman" w:cs="Times New Roman"/>
          <w:lang w:val="en-US" w:eastAsia="zh-CN"/>
        </w:rPr>
        <w:t>1</w:t>
      </w:r>
    </w:p>
    <w:p>
      <w:pPr>
        <w:pStyle w:val="14"/>
        <w:tabs>
          <w:tab w:val="right" w:leader="dot" w:pos="8296"/>
        </w:tabs>
        <w:spacing w:line="460" w:lineRule="exact"/>
        <w:rPr>
          <w:rStyle w:val="26"/>
          <w:rFonts w:hint="default" w:ascii="Times New Roman" w:hAnsi="Times New Roman" w:cs="Times New Roman"/>
          <w:sz w:val="24"/>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"_Toc413785915"</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（一）预算编制问题</w:t>
      </w:r>
      <w:r>
        <w:rPr>
          <w:rStyle w:val="26"/>
          <w:rFonts w:hint="default" w:ascii="Times New Roman" w:hAnsi="Times New Roman" w:cs="Times New Roman"/>
          <w:sz w:val="24"/>
        </w:rPr>
        <w:tab/>
      </w:r>
      <w:r>
        <w:rPr>
          <w:rStyle w:val="26"/>
          <w:rFonts w:hint="eastAsia" w:ascii="Times New Roman" w:hAnsi="Times New Roman" w:cs="Times New Roman"/>
          <w:sz w:val="24"/>
          <w:lang w:val="en-US" w:eastAsia="zh-CN"/>
        </w:rPr>
        <w:t>2</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1</w:t>
      </w:r>
    </w:p>
    <w:p>
      <w:pPr>
        <w:pStyle w:val="14"/>
        <w:tabs>
          <w:tab w:val="right" w:leader="dot" w:pos="8296"/>
        </w:tabs>
        <w:spacing w:line="460" w:lineRule="exact"/>
        <w:rPr>
          <w:rFonts w:hint="eastAsia" w:ascii="Times New Roman" w:hAnsi="Times New Roman" w:cs="Times New Roman"/>
          <w:sz w:val="24"/>
          <w:lang w:val="en-US" w:eastAsia="zh-CN"/>
        </w:rPr>
      </w:pPr>
      <w:r>
        <w:rPr>
          <w:rFonts w:hint="default" w:ascii="Times New Roman" w:hAnsi="Times New Roman" w:cs="Times New Roman"/>
          <w:sz w:val="24"/>
          <w:lang/>
        </w:rPr>
        <w:fldChar w:fldCharType="begin"/>
      </w:r>
      <w:r>
        <w:rPr>
          <w:rStyle w:val="26"/>
          <w:rFonts w:hint="default" w:ascii="Times New Roman" w:hAnsi="Times New Roman" w:cs="Times New Roman"/>
          <w:sz w:val="24"/>
          <w:lang/>
        </w:rPr>
        <w:instrText xml:space="preserve"> </w:instrText>
      </w:r>
      <w:r>
        <w:rPr>
          <w:rStyle w:val="26"/>
          <w:rFonts w:hint="default" w:ascii="Times New Roman" w:hAnsi="Times New Roman" w:cs="Times New Roman"/>
          <w:sz w:val="24"/>
        </w:rPr>
        <w:instrText xml:space="preserve">HYPERLINK \l "_Toc413785916"</w:instrText>
      </w:r>
      <w:r>
        <w:rPr>
          <w:rStyle w:val="26"/>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Style w:val="26"/>
          <w:rFonts w:hint="default" w:ascii="Times New Roman" w:hAnsi="Times New Roman" w:cs="Times New Roman"/>
          <w:sz w:val="24"/>
          <w:lang/>
        </w:rPr>
        <w:t>（二）</w:t>
      </w:r>
      <w:r>
        <w:rPr>
          <w:rStyle w:val="26"/>
          <w:rFonts w:hint="default" w:ascii="Times New Roman" w:hAnsi="Times New Roman" w:cs="Times New Roman"/>
          <w:color w:val="auto"/>
          <w:sz w:val="24"/>
        </w:rPr>
        <w:t>会计核算问题</w:t>
      </w:r>
      <w:r>
        <w:rPr>
          <w:rStyle w:val="26"/>
          <w:rFonts w:hint="default" w:ascii="Times New Roman" w:hAnsi="Times New Roman" w:cs="Times New Roman"/>
          <w:sz w:val="24"/>
        </w:rPr>
        <w:tab/>
      </w:r>
      <w:r>
        <w:rPr>
          <w:rFonts w:hint="eastAsia" w:ascii="Times New Roman" w:hAnsi="Times New Roman" w:cs="Times New Roman"/>
          <w:sz w:val="24"/>
          <w:lang w:val="en-US" w:eastAsia="zh-CN"/>
        </w:rPr>
        <w:t>2</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1</w:t>
      </w:r>
    </w:p>
    <w:p>
      <w:pPr>
        <w:pStyle w:val="14"/>
        <w:tabs>
          <w:tab w:val="right" w:leader="dot" w:pos="8296"/>
        </w:tabs>
        <w:spacing w:line="460" w:lineRule="exact"/>
        <w:rPr>
          <w:rFonts w:hint="default"/>
        </w:rPr>
      </w:pPr>
      <w:r>
        <w:rPr>
          <w:rFonts w:hint="default" w:ascii="Times New Roman" w:hAnsi="Times New Roman" w:cs="Times New Roman"/>
          <w:sz w:val="24"/>
        </w:rPr>
        <w:fldChar w:fldCharType="begin"/>
      </w:r>
      <w:r>
        <w:rPr>
          <w:rStyle w:val="26"/>
          <w:rFonts w:hint="default" w:ascii="Times New Roman" w:hAnsi="Times New Roman" w:cs="Times New Roman"/>
          <w:sz w:val="24"/>
        </w:rPr>
        <w:instrText xml:space="preserve"> HYPERLINK \l "_Toc413785916" </w:instrText>
      </w:r>
      <w:r>
        <w:rPr>
          <w:rFonts w:hint="default" w:ascii="Times New Roman" w:hAnsi="Times New Roman" w:cs="Times New Roman"/>
          <w:sz w:val="24"/>
        </w:rPr>
        <w:fldChar w:fldCharType="separate"/>
      </w:r>
      <w:r>
        <w:rPr>
          <w:rStyle w:val="26"/>
          <w:rFonts w:hint="default" w:ascii="Times New Roman" w:hAnsi="Times New Roman" w:cs="Times New Roman"/>
          <w:sz w:val="24"/>
        </w:rPr>
        <w:t>（</w:t>
      </w:r>
      <w:r>
        <w:rPr>
          <w:rStyle w:val="26"/>
          <w:rFonts w:hint="eastAsia" w:ascii="Times New Roman" w:hAnsi="Times New Roman" w:cs="Times New Roman"/>
          <w:sz w:val="24"/>
          <w:lang w:eastAsia="zh-CN"/>
        </w:rPr>
        <w:t>三</w:t>
      </w:r>
      <w:r>
        <w:rPr>
          <w:rStyle w:val="26"/>
          <w:rFonts w:hint="default" w:ascii="Times New Roman" w:hAnsi="Times New Roman" w:cs="Times New Roman"/>
          <w:sz w:val="24"/>
        </w:rPr>
        <w:t>）</w:t>
      </w:r>
      <w:r>
        <w:rPr>
          <w:rStyle w:val="26"/>
          <w:rFonts w:hint="eastAsia" w:ascii="Times New Roman" w:hAnsi="Times New Roman" w:cs="Times New Roman"/>
          <w:color w:val="auto"/>
          <w:sz w:val="24"/>
          <w:lang w:eastAsia="zh-CN"/>
        </w:rPr>
        <w:t>“三公经费”管理存在的问题</w:t>
      </w:r>
      <w:r>
        <w:rPr>
          <w:rStyle w:val="26"/>
          <w:rFonts w:hint="default" w:ascii="Times New Roman" w:hAnsi="Times New Roman" w:cs="Times New Roman"/>
          <w:sz w:val="24"/>
        </w:rPr>
        <w:tab/>
      </w:r>
      <w:r>
        <w:rPr>
          <w:rFonts w:hint="eastAsia" w:ascii="Times New Roman" w:hAnsi="Times New Roman" w:cs="Times New Roman"/>
          <w:sz w:val="24"/>
          <w:lang w:val="en-US" w:eastAsia="zh-CN"/>
        </w:rPr>
        <w:t>2</w:t>
      </w:r>
      <w:r>
        <w:rPr>
          <w:rFonts w:hint="default" w:ascii="Times New Roman" w:hAnsi="Times New Roman" w:cs="Times New Roman"/>
          <w:sz w:val="24"/>
        </w:rPr>
        <w:fldChar w:fldCharType="end"/>
      </w:r>
    </w:p>
    <w:p>
      <w:pPr>
        <w:pStyle w:val="13"/>
        <w:spacing w:line="460" w:lineRule="exact"/>
        <w:rPr>
          <w:rStyle w:val="26"/>
          <w:rFonts w:hint="default" w:ascii="Times New Roman" w:hAnsi="Times New Roman" w:cs="Times New Roman"/>
        </w:rPr>
      </w:pPr>
      <w:r>
        <w:rPr>
          <w:rFonts w:hint="default" w:ascii="Times New Roman" w:hAnsi="Times New Roman" w:cs="Times New Roman"/>
        </w:rPr>
        <w:fldChar w:fldCharType="begin"/>
      </w:r>
      <w:r>
        <w:rPr>
          <w:rStyle w:val="26"/>
          <w:rFonts w:hint="default" w:ascii="Times New Roman" w:hAnsi="Times New Roman" w:cs="Times New Roman"/>
        </w:rPr>
        <w:instrText xml:space="preserve"> HYPERLINK \l "_Toc413785917" </w:instrText>
      </w:r>
      <w:r>
        <w:rPr>
          <w:rFonts w:hint="default" w:ascii="Times New Roman" w:hAnsi="Times New Roman" w:cs="Times New Roman"/>
        </w:rPr>
        <w:fldChar w:fldCharType="separate"/>
      </w:r>
      <w:r>
        <w:rPr>
          <w:rStyle w:val="26"/>
          <w:rFonts w:hint="default" w:ascii="Times New Roman" w:hAnsi="Times New Roman" w:cs="Times New Roman"/>
          <w:lang w:eastAsia="zh-CN"/>
        </w:rPr>
        <w:t>六</w:t>
      </w:r>
      <w:r>
        <w:rPr>
          <w:rStyle w:val="26"/>
          <w:rFonts w:hint="default" w:ascii="Times New Roman" w:hAnsi="Times New Roman" w:cs="Times New Roman"/>
        </w:rPr>
        <w:t>、改进措施和建议</w:t>
      </w:r>
      <w:r>
        <w:rPr>
          <w:rStyle w:val="26"/>
          <w:rFonts w:hint="default" w:ascii="Times New Roman" w:hAnsi="Times New Roman" w:cs="Times New Roman"/>
        </w:rPr>
        <w:tab/>
      </w:r>
      <w:r>
        <w:rPr>
          <w:rStyle w:val="26"/>
          <w:rFonts w:hint="eastAsia" w:ascii="Times New Roman" w:hAnsi="Times New Roman" w:cs="Times New Roman"/>
          <w:lang w:val="en-US" w:eastAsia="zh-CN"/>
        </w:rPr>
        <w:t>2</w:t>
      </w:r>
      <w:r>
        <w:rPr>
          <w:rFonts w:hint="default" w:ascii="Times New Roman" w:hAnsi="Times New Roman" w:cs="Times New Roman"/>
        </w:rPr>
        <w:fldChar w:fldCharType="end"/>
      </w:r>
      <w:r>
        <w:rPr>
          <w:rFonts w:hint="eastAsia" w:ascii="Times New Roman" w:hAnsi="Times New Roman" w:cs="Times New Roman"/>
          <w:lang w:val="en-US" w:eastAsia="zh-CN"/>
        </w:rPr>
        <w:t>4</w:t>
      </w:r>
    </w:p>
    <w:p>
      <w:pPr>
        <w:pStyle w:val="14"/>
        <w:tabs>
          <w:tab w:val="right" w:leader="dot" w:pos="8296"/>
        </w:tabs>
        <w:spacing w:line="460" w:lineRule="exact"/>
        <w:rPr>
          <w:rFonts w:hint="default" w:ascii="Times New Roman" w:hAnsi="Times New Roman" w:cs="Times New Roman"/>
          <w:sz w:val="24"/>
        </w:rPr>
      </w:pPr>
      <w:r>
        <w:rPr>
          <w:rFonts w:hint="default" w:ascii="Times New Roman" w:hAnsi="Times New Roman" w:cs="Times New Roman"/>
          <w:sz w:val="24"/>
          <w:lang/>
        </w:rPr>
        <w:fldChar w:fldCharType="begin"/>
      </w:r>
      <w:r>
        <w:rPr>
          <w:rFonts w:hint="default" w:ascii="Times New Roman" w:hAnsi="Times New Roman" w:cs="Times New Roman"/>
          <w:sz w:val="24"/>
          <w:lang/>
        </w:rPr>
        <w:instrText xml:space="preserve"> </w:instrText>
      </w:r>
      <w:r>
        <w:rPr>
          <w:rFonts w:hint="default" w:ascii="Times New Roman" w:hAnsi="Times New Roman" w:cs="Times New Roman"/>
          <w:sz w:val="24"/>
        </w:rPr>
        <w:instrText xml:space="preserve">HYPERLINK \l "_Toc413785918"</w:instrText>
      </w:r>
      <w:r>
        <w:rPr>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Fonts w:hint="default" w:ascii="Times New Roman" w:hAnsi="Times New Roman" w:cs="Times New Roman"/>
          <w:sz w:val="24"/>
          <w:lang/>
        </w:rPr>
        <w:t>（一）</w:t>
      </w:r>
      <w:r>
        <w:rPr>
          <w:rFonts w:hint="default" w:ascii="Times New Roman" w:hAnsi="Times New Roman" w:cs="Times New Roman"/>
          <w:sz w:val="24"/>
        </w:rPr>
        <w:t>加强预算管理，严格执行《预算法》</w:t>
      </w:r>
      <w:r>
        <w:rPr>
          <w:rFonts w:hint="default" w:ascii="Times New Roman" w:hAnsi="Times New Roman" w:cs="Times New Roman"/>
          <w:sz w:val="24"/>
        </w:rPr>
        <w:tab/>
      </w:r>
      <w:r>
        <w:rPr>
          <w:rFonts w:hint="eastAsia" w:ascii="Times New Roman" w:hAnsi="Times New Roman" w:cs="Times New Roman"/>
          <w:sz w:val="24"/>
          <w:lang w:val="en-US" w:eastAsia="zh-CN"/>
        </w:rPr>
        <w:t>2</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4</w:t>
      </w:r>
    </w:p>
    <w:p>
      <w:pPr>
        <w:pStyle w:val="14"/>
        <w:tabs>
          <w:tab w:val="right" w:leader="dot" w:pos="8296"/>
        </w:tabs>
        <w:spacing w:line="460" w:lineRule="exact"/>
        <w:rPr>
          <w:rFonts w:hint="eastAsia" w:ascii="Times New Roman" w:hAnsi="Times New Roman" w:cs="Times New Roman"/>
          <w:sz w:val="24"/>
          <w:lang w:val="en-US" w:eastAsia="zh-CN"/>
        </w:rPr>
      </w:pPr>
      <w:r>
        <w:rPr>
          <w:rFonts w:hint="default" w:ascii="Times New Roman" w:hAnsi="Times New Roman" w:cs="Times New Roman"/>
          <w:sz w:val="24"/>
          <w:lang/>
        </w:rPr>
        <w:fldChar w:fldCharType="begin"/>
      </w:r>
      <w:r>
        <w:rPr>
          <w:rFonts w:hint="default" w:ascii="Times New Roman" w:hAnsi="Times New Roman" w:cs="Times New Roman"/>
          <w:sz w:val="24"/>
          <w:lang/>
        </w:rPr>
        <w:instrText xml:space="preserve"> </w:instrText>
      </w:r>
      <w:r>
        <w:rPr>
          <w:rFonts w:hint="default" w:ascii="Times New Roman" w:hAnsi="Times New Roman" w:cs="Times New Roman"/>
          <w:sz w:val="24"/>
        </w:rPr>
        <w:instrText xml:space="preserve">HYPERLINK \l "_Toc413785919"</w:instrText>
      </w:r>
      <w:r>
        <w:rPr>
          <w:rFonts w:hint="default" w:ascii="Times New Roman" w:hAnsi="Times New Roman" w:cs="Times New Roman"/>
          <w:sz w:val="24"/>
          <w:lang/>
        </w:rPr>
        <w:instrText xml:space="preserve"> </w:instrText>
      </w:r>
      <w:r>
        <w:rPr>
          <w:rFonts w:hint="default" w:ascii="Times New Roman" w:hAnsi="Times New Roman" w:cs="Times New Roman"/>
          <w:sz w:val="24"/>
          <w:lang/>
        </w:rPr>
        <w:fldChar w:fldCharType="separate"/>
      </w:r>
      <w:r>
        <w:rPr>
          <w:rFonts w:hint="default" w:ascii="Times New Roman" w:hAnsi="Times New Roman" w:cs="Times New Roman"/>
          <w:sz w:val="24"/>
          <w:lang/>
        </w:rPr>
        <w:t>（二）</w:t>
      </w:r>
      <w:r>
        <w:rPr>
          <w:rFonts w:hint="eastAsia" w:ascii="Times New Roman" w:hAnsi="Times New Roman" w:cs="Times New Roman"/>
          <w:sz w:val="24"/>
          <w:lang w:val="en-US" w:eastAsia="zh-CN"/>
        </w:rPr>
        <w:t>加强财务管理，严格财务审核</w:t>
      </w:r>
      <w:r>
        <w:rPr>
          <w:rFonts w:hint="default" w:ascii="Times New Roman" w:hAnsi="Times New Roman" w:cs="Times New Roman"/>
          <w:sz w:val="24"/>
        </w:rPr>
        <w:tab/>
      </w:r>
      <w:r>
        <w:rPr>
          <w:rFonts w:hint="eastAsia" w:ascii="Times New Roman" w:hAnsi="Times New Roman" w:cs="Times New Roman"/>
          <w:sz w:val="24"/>
          <w:lang w:val="en-US" w:eastAsia="zh-CN"/>
        </w:rPr>
        <w:t>2</w:t>
      </w:r>
      <w:r>
        <w:rPr>
          <w:rFonts w:hint="default" w:ascii="Times New Roman" w:hAnsi="Times New Roman" w:cs="Times New Roman"/>
          <w:sz w:val="24"/>
          <w:lang/>
        </w:rPr>
        <w:fldChar w:fldCharType="end"/>
      </w:r>
      <w:r>
        <w:rPr>
          <w:rFonts w:hint="eastAsia" w:ascii="Times New Roman" w:hAnsi="Times New Roman" w:cs="Times New Roman"/>
          <w:sz w:val="24"/>
          <w:lang w:val="en-US" w:eastAsia="zh-CN"/>
        </w:rPr>
        <w:t>4</w:t>
      </w:r>
    </w:p>
    <w:p>
      <w:pPr>
        <w:pStyle w:val="14"/>
        <w:tabs>
          <w:tab w:val="right" w:leader="dot" w:pos="8296"/>
        </w:tabs>
        <w:spacing w:line="460" w:lineRule="exact"/>
        <w:rPr>
          <w:rFonts w:hint="eastAsia" w:ascii="Times New Roman" w:hAnsi="Times New Roman" w:cs="Times New Roman"/>
          <w:sz w:val="24"/>
          <w:lang w:val="en-US" w:eastAsia="zh-CN"/>
        </w:rPr>
      </w:pPr>
      <w:r>
        <w:rPr>
          <w:rFonts w:hint="default" w:ascii="Times New Roman" w:hAnsi="Times New Roman" w:cs="Times New Roman"/>
          <w:sz w:val="24"/>
        </w:rPr>
        <w:fldChar w:fldCharType="begin"/>
      </w:r>
      <w:r>
        <w:rPr>
          <w:rFonts w:hint="default" w:ascii="Times New Roman" w:hAnsi="Times New Roman" w:cs="Times New Roman"/>
          <w:sz w:val="24"/>
        </w:rPr>
        <w:instrText xml:space="preserve"> HYPERLINK \l "_Toc413785919" </w:instrText>
      </w:r>
      <w:r>
        <w:rPr>
          <w:rFonts w:hint="default" w:ascii="Times New Roman" w:hAnsi="Times New Roman" w:cs="Times New Roman"/>
          <w:sz w:val="24"/>
        </w:rPr>
        <w:fldChar w:fldCharType="separate"/>
      </w:r>
      <w:r>
        <w:rPr>
          <w:rFonts w:hint="default" w:ascii="Times New Roman" w:hAnsi="Times New Roman" w:cs="Times New Roman"/>
          <w:sz w:val="24"/>
        </w:rPr>
        <w:t>（</w:t>
      </w:r>
      <w:r>
        <w:rPr>
          <w:rFonts w:hint="eastAsia" w:ascii="Times New Roman" w:hAnsi="Times New Roman" w:cs="Times New Roman"/>
          <w:sz w:val="24"/>
          <w:lang w:eastAsia="zh-CN"/>
        </w:rPr>
        <w:t>三</w:t>
      </w:r>
      <w:r>
        <w:rPr>
          <w:rFonts w:hint="default" w:ascii="Times New Roman" w:hAnsi="Times New Roman" w:cs="Times New Roman"/>
          <w:sz w:val="24"/>
        </w:rPr>
        <w:t>）</w:t>
      </w:r>
      <w:r>
        <w:rPr>
          <w:rFonts w:hint="eastAsia" w:ascii="Times New Roman" w:hAnsi="Times New Roman" w:cs="Times New Roman"/>
          <w:sz w:val="24"/>
          <w:lang w:val="en-US" w:eastAsia="zh-CN"/>
        </w:rPr>
        <w:t>严格控制三公经费</w:t>
      </w:r>
      <w:r>
        <w:rPr>
          <w:rFonts w:hint="default" w:ascii="Times New Roman" w:hAnsi="Times New Roman" w:cs="Times New Roman"/>
          <w:sz w:val="24"/>
        </w:rPr>
        <w:tab/>
      </w:r>
      <w:r>
        <w:rPr>
          <w:rFonts w:hint="eastAsia" w:ascii="Times New Roman" w:hAnsi="Times New Roman" w:cs="Times New Roman"/>
          <w:sz w:val="24"/>
          <w:lang w:val="en-US" w:eastAsia="zh-CN"/>
        </w:rPr>
        <w:t>2</w:t>
      </w:r>
      <w:r>
        <w:rPr>
          <w:rFonts w:hint="default" w:ascii="Times New Roman" w:hAnsi="Times New Roman" w:cs="Times New Roman"/>
          <w:sz w:val="24"/>
        </w:rPr>
        <w:fldChar w:fldCharType="end"/>
      </w:r>
      <w:r>
        <w:rPr>
          <w:rFonts w:hint="eastAsia" w:ascii="Times New Roman" w:hAnsi="Times New Roman" w:cs="Times New Roman"/>
          <w:sz w:val="24"/>
          <w:lang w:val="en-US" w:eastAsia="zh-CN"/>
        </w:rPr>
        <w:t>5</w:t>
      </w:r>
    </w:p>
    <w:p>
      <w:pPr>
        <w:spacing w:line="560" w:lineRule="exact"/>
        <w:rPr>
          <w:rFonts w:hint="default" w:ascii="Times New Roman" w:hAnsi="Times New Roman" w:cs="Times New Roman"/>
          <w:sz w:val="30"/>
          <w:szCs w:val="30"/>
        </w:rPr>
        <w:sectPr>
          <w:footerReference r:id="rId5" w:type="default"/>
          <w:pgSz w:w="11906" w:h="16838"/>
          <w:pgMar w:top="1701" w:right="1984" w:bottom="1701" w:left="1984" w:header="851" w:footer="850" w:gutter="0"/>
          <w:paperSrc/>
          <w:pgBorders>
            <w:top w:val="none" w:sz="0" w:space="0"/>
            <w:left w:val="none" w:sz="0" w:space="0"/>
            <w:bottom w:val="none" w:sz="0" w:space="0"/>
            <w:right w:val="none" w:sz="0" w:space="0"/>
          </w:pgBorders>
          <w:pgNumType w:start="1"/>
          <w:cols w:space="720" w:num="1"/>
          <w:rtlGutter w:val="0"/>
          <w:docGrid w:type="lines" w:linePitch="312" w:charSpace="0"/>
        </w:sectPr>
      </w:pPr>
      <w:r>
        <w:rPr>
          <w:rFonts w:hint="default" w:ascii="Times New Roman" w:hAnsi="Times New Roman" w:cs="Times New Roman"/>
          <w:b/>
          <w:bCs/>
          <w:sz w:val="28"/>
          <w:szCs w:val="28"/>
        </w:rPr>
        <w:fldChar w:fldCharType="end"/>
      </w: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sz w:val="30"/>
          <w:szCs w:val="30"/>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sz w:val="30"/>
          <w:szCs w:val="30"/>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sz w:val="30"/>
          <w:szCs w:val="30"/>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sz w:val="30"/>
          <w:szCs w:val="30"/>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cs="Times New Roman"/>
          <w:sz w:val="30"/>
          <w:szCs w:val="30"/>
        </w:rPr>
      </w:pPr>
    </w:p>
    <w:p>
      <w:pPr>
        <w:pageBreakBefore w:val="0"/>
        <w:kinsoku/>
        <w:wordWrap/>
        <w:overflowPunct/>
        <w:topLinePunct w:val="0"/>
        <w:autoSpaceDE/>
        <w:bidi w:val="0"/>
        <w:adjustRightInd/>
        <w:snapToGrid/>
        <w:spacing w:line="600" w:lineRule="exact"/>
        <w:jc w:val="center"/>
        <w:rPr>
          <w:rFonts w:hint="eastAsia" w:ascii="仿宋_GB2312" w:hAnsi="仿宋_GB2312" w:eastAsia="仿宋_GB2312" w:cs="仿宋_GB2312"/>
          <w:b/>
          <w:bCs/>
          <w:sz w:val="32"/>
          <w:szCs w:val="32"/>
        </w:rPr>
      </w:pPr>
      <w:r>
        <w:rPr>
          <w:rFonts w:hint="eastAsia" w:ascii="仿宋_GB2312" w:hAnsi="仿宋_GB2312" w:eastAsia="仿宋_GB2312" w:cs="仿宋_GB2312"/>
          <w:sz w:val="24"/>
          <w:szCs w:val="24"/>
        </w:rPr>
        <w:t>湘永专审字[201</w:t>
      </w: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rPr>
        <w:t>]第00</w:t>
      </w:r>
      <w:r>
        <w:rPr>
          <w:rFonts w:hint="eastAsia" w:ascii="仿宋_GB2312" w:hAnsi="仿宋_GB2312" w:eastAsia="仿宋_GB2312" w:cs="仿宋_GB2312"/>
          <w:sz w:val="24"/>
          <w:szCs w:val="24"/>
          <w:lang w:val="en-US" w:eastAsia="zh-CN"/>
        </w:rPr>
        <w:t>72</w:t>
      </w:r>
      <w:r>
        <w:rPr>
          <w:rFonts w:hint="eastAsia" w:ascii="仿宋_GB2312" w:hAnsi="仿宋_GB2312" w:eastAsia="仿宋_GB2312" w:cs="仿宋_GB2312"/>
          <w:sz w:val="24"/>
          <w:szCs w:val="24"/>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黑体" w:hAnsi="黑体" w:eastAsia="黑体" w:cs="黑体"/>
          <w:b w:val="0"/>
          <w:bCs w:val="0"/>
          <w:sz w:val="44"/>
          <w:szCs w:val="44"/>
        </w:rPr>
      </w:pPr>
      <w:r>
        <w:rPr>
          <w:rFonts w:hint="eastAsia" w:ascii="黑体" w:hAnsi="黑体" w:eastAsia="黑体" w:cs="黑体"/>
          <w:b w:val="0"/>
          <w:bCs w:val="0"/>
          <w:sz w:val="44"/>
          <w:szCs w:val="44"/>
          <w:lang w:val="en-US" w:eastAsia="zh-CN"/>
        </w:rPr>
        <w:t>东安县环境保护局</w:t>
      </w:r>
      <w:r>
        <w:rPr>
          <w:rFonts w:hint="eastAsia" w:ascii="黑体" w:hAnsi="黑体" w:eastAsia="黑体" w:cs="黑体"/>
          <w:b w:val="0"/>
          <w:bCs w:val="0"/>
          <w:sz w:val="44"/>
          <w:szCs w:val="44"/>
        </w:rPr>
        <w:t>201</w:t>
      </w:r>
      <w:r>
        <w:rPr>
          <w:rFonts w:hint="eastAsia" w:ascii="黑体" w:hAnsi="黑体" w:eastAsia="黑体" w:cs="黑体"/>
          <w:b w:val="0"/>
          <w:bCs w:val="0"/>
          <w:sz w:val="44"/>
          <w:szCs w:val="44"/>
          <w:lang w:val="en-US" w:eastAsia="zh-CN"/>
        </w:rPr>
        <w:t>7</w:t>
      </w:r>
      <w:r>
        <w:rPr>
          <w:rFonts w:hint="eastAsia" w:ascii="黑体" w:hAnsi="黑体" w:eastAsia="黑体" w:cs="黑体"/>
          <w:b w:val="0"/>
          <w:bCs w:val="0"/>
          <w:sz w:val="44"/>
          <w:szCs w:val="44"/>
        </w:rPr>
        <w:t>年度部门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0" w:firstLineChars="0"/>
        <w:jc w:val="center"/>
        <w:textAlignment w:val="auto"/>
        <w:outlineLvl w:val="9"/>
        <w:rPr>
          <w:rFonts w:hint="eastAsia" w:ascii="黑体" w:hAnsi="黑体" w:eastAsia="黑体" w:cs="黑体"/>
          <w:b w:val="0"/>
          <w:bCs w:val="0"/>
          <w:sz w:val="44"/>
          <w:szCs w:val="44"/>
        </w:rPr>
      </w:pPr>
      <w:r>
        <w:rPr>
          <w:rFonts w:hint="eastAsia" w:ascii="黑体" w:hAnsi="黑体" w:eastAsia="黑体" w:cs="黑体"/>
          <w:b w:val="0"/>
          <w:bCs w:val="0"/>
          <w:sz w:val="44"/>
          <w:szCs w:val="44"/>
        </w:rPr>
        <w:t>整体支出绩效评价报告</w:t>
      </w:r>
    </w:p>
    <w:p>
      <w:pPr>
        <w:pageBreakBefore w:val="0"/>
        <w:kinsoku/>
        <w:wordWrap/>
        <w:overflowPunct/>
        <w:topLinePunct w:val="0"/>
        <w:autoSpaceDE/>
        <w:bidi w:val="0"/>
        <w:adjustRightInd/>
        <w:snapToGrid/>
        <w:spacing w:line="600" w:lineRule="exact"/>
        <w:rPr>
          <w:rFonts w:hint="eastAsia" w:ascii="仿宋_GB2312" w:hAnsi="仿宋_GB2312" w:eastAsia="仿宋_GB2312" w:cs="仿宋_GB2312"/>
          <w:sz w:val="32"/>
          <w:szCs w:val="32"/>
        </w:rPr>
      </w:pP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0" w:firstLineChars="0"/>
        <w:jc w:val="left"/>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东安</w:t>
      </w:r>
      <w:r>
        <w:rPr>
          <w:rFonts w:hint="eastAsia" w:ascii="仿宋_GB2312" w:hAnsi="仿宋_GB2312" w:eastAsia="仿宋_GB2312" w:cs="仿宋_GB2312"/>
          <w:sz w:val="32"/>
          <w:szCs w:val="32"/>
          <w:lang w:eastAsia="zh-CN"/>
        </w:rPr>
        <w:t>县财政局、</w:t>
      </w:r>
      <w:r>
        <w:rPr>
          <w:rFonts w:hint="eastAsia" w:ascii="仿宋_GB2312" w:hAnsi="仿宋_GB2312" w:eastAsia="仿宋_GB2312" w:cs="仿宋_GB2312"/>
          <w:sz w:val="32"/>
          <w:szCs w:val="32"/>
          <w:lang w:val="en-US" w:eastAsia="zh-CN"/>
        </w:rPr>
        <w:t>东安县环境保护局</w:t>
      </w:r>
      <w:r>
        <w:rPr>
          <w:rFonts w:hint="eastAsia" w:ascii="仿宋_GB2312" w:hAnsi="仿宋_GB2312" w:eastAsia="仿宋_GB2312" w:cs="仿宋_GB2312"/>
          <w:sz w:val="32"/>
          <w:szCs w:val="32"/>
          <w:lang w:eastAsia="zh-CN"/>
        </w:rPr>
        <w:t>：</w:t>
      </w:r>
    </w:p>
    <w:p>
      <w:pPr>
        <w:keepNext w:val="0"/>
        <w:keepLines w:val="0"/>
        <w:pageBreakBefore w:val="0"/>
        <w:widowControl/>
        <w:kinsoku/>
        <w:wordWrap/>
        <w:overflowPunct/>
        <w:topLinePunct w:val="0"/>
        <w:autoSpaceDE/>
        <w:autoSpaceDN/>
        <w:bidi w:val="0"/>
        <w:adjustRightInd/>
        <w:snapToGrid/>
        <w:spacing w:line="60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为增强预算编制的科学性、合理性、规范性，促进部门从整体上提升预算编制、执行、监督和绩效管理等能力和水平，强化预算支出责任，进一步管理和使用好财政资金，提高财政资金使用效益，为以后年度资金预算安排及年度绩效评估考核提供重要参考依据。</w:t>
      </w:r>
      <w:r>
        <w:rPr>
          <w:rFonts w:hint="eastAsia" w:ascii="仿宋_GB2312" w:hAnsi="仿宋_GB2312" w:eastAsia="仿宋_GB2312" w:cs="仿宋_GB2312"/>
          <w:color w:val="auto"/>
          <w:sz w:val="32"/>
          <w:szCs w:val="32"/>
        </w:rPr>
        <w:t>按照《湖南省人民政府关于全面推进预算绩效管理的意见》（湘政发</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2012</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33号）、《永州市人民政府关于全面推进预算绩效管理的实施意见》（永政发[2013]24号），结合《</w:t>
      </w:r>
      <w:r>
        <w:rPr>
          <w:rFonts w:hint="eastAsia" w:ascii="仿宋_GB2312" w:hAnsi="仿宋_GB2312" w:eastAsia="仿宋_GB2312" w:cs="仿宋_GB2312"/>
          <w:color w:val="auto"/>
          <w:sz w:val="32"/>
          <w:szCs w:val="32"/>
          <w:lang w:val="en-US" w:eastAsia="zh-CN"/>
        </w:rPr>
        <w:t>东安县财政局关于做好2017年部门整体支出重点绩效评价工作的通知</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东财绩[2018]8</w:t>
      </w:r>
      <w:r>
        <w:rPr>
          <w:rFonts w:hint="eastAsia" w:ascii="仿宋_GB2312" w:hAnsi="仿宋_GB2312" w:eastAsia="仿宋_GB2312" w:cs="仿宋_GB2312"/>
          <w:color w:val="auto"/>
          <w:sz w:val="32"/>
          <w:szCs w:val="32"/>
        </w:rPr>
        <w:t>号）的要求，我们接受委托</w:t>
      </w:r>
      <w:r>
        <w:rPr>
          <w:rFonts w:hint="eastAsia" w:ascii="仿宋_GB2312" w:hAnsi="仿宋_GB2312" w:eastAsia="仿宋_GB2312" w:cs="仿宋_GB2312"/>
          <w:color w:val="auto"/>
          <w:sz w:val="32"/>
          <w:szCs w:val="32"/>
          <w:lang w:eastAsia="zh-CN"/>
        </w:rPr>
        <w:t>于</w:t>
      </w:r>
      <w:r>
        <w:rPr>
          <w:rFonts w:hint="eastAsia" w:ascii="仿宋_GB2312" w:hAnsi="仿宋_GB2312" w:eastAsia="仿宋_GB2312" w:cs="仿宋_GB2312"/>
          <w:color w:val="auto"/>
          <w:sz w:val="32"/>
          <w:szCs w:val="32"/>
        </w:rPr>
        <w:t>201</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eastAsia="zh-CN"/>
        </w:rPr>
        <w:t>至</w:t>
      </w:r>
      <w:r>
        <w:rPr>
          <w:rFonts w:hint="eastAsia" w:ascii="仿宋_GB2312" w:hAnsi="仿宋_GB2312" w:eastAsia="仿宋_GB2312" w:cs="仿宋_GB2312"/>
          <w:sz w:val="32"/>
          <w:szCs w:val="32"/>
          <w:lang w:val="en-US" w:eastAsia="zh-CN"/>
        </w:rPr>
        <w:t>11</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日对</w:t>
      </w:r>
      <w:r>
        <w:rPr>
          <w:rFonts w:hint="eastAsia" w:ascii="仿宋_GB2312" w:hAnsi="仿宋_GB2312" w:eastAsia="仿宋_GB2312" w:cs="仿宋_GB2312"/>
          <w:sz w:val="32"/>
          <w:szCs w:val="32"/>
          <w:lang w:val="en-US" w:eastAsia="zh-CN"/>
        </w:rPr>
        <w:t>东安县环境保护局</w:t>
      </w:r>
      <w:r>
        <w:rPr>
          <w:rFonts w:hint="eastAsia" w:ascii="仿宋_GB2312" w:hAnsi="仿宋_GB2312" w:eastAsia="仿宋_GB2312" w:cs="仿宋_GB2312"/>
          <w:sz w:val="32"/>
          <w:szCs w:val="32"/>
        </w:rPr>
        <w:t>201</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rPr>
        <w:t>年度部门整体支出实施绩效评价。根据财政支出绩效评价的有关规定，形成本绩效评价报告。</w:t>
      </w:r>
    </w:p>
    <w:p>
      <w:pPr>
        <w:pStyle w:val="2"/>
        <w:pageBreakBefore w:val="0"/>
        <w:numPr>
          <w:ilvl w:val="0"/>
          <w:numId w:val="0"/>
        </w:numPr>
        <w:kinsoku/>
        <w:wordWrap/>
        <w:overflowPunct/>
        <w:topLinePunct w:val="0"/>
        <w:autoSpaceDE/>
        <w:autoSpaceDN/>
        <w:bidi w:val="0"/>
        <w:adjustRightInd/>
        <w:snapToGrid/>
        <w:spacing w:before="0" w:after="0" w:line="600" w:lineRule="exact"/>
        <w:ind w:left="0" w:leftChars="0" w:right="0" w:rightChars="0" w:firstLine="640" w:firstLineChars="200"/>
        <w:textAlignment w:val="auto"/>
        <w:rPr>
          <w:rFonts w:hint="eastAsia" w:ascii="黑体" w:hAnsi="黑体" w:eastAsia="黑体" w:cs="黑体"/>
          <w:b w:val="0"/>
          <w:bCs w:val="0"/>
          <w:sz w:val="32"/>
          <w:szCs w:val="32"/>
        </w:rPr>
      </w:pPr>
      <w:bookmarkStart w:id="14" w:name="_Toc413785897"/>
      <w:r>
        <w:rPr>
          <w:rFonts w:hint="eastAsia" w:ascii="黑体" w:hAnsi="黑体" w:eastAsia="黑体" w:cs="黑体"/>
          <w:b w:val="0"/>
          <w:bCs w:val="0"/>
          <w:sz w:val="32"/>
          <w:szCs w:val="32"/>
          <w:lang w:eastAsia="zh-CN"/>
        </w:rPr>
        <w:t>一、</w:t>
      </w:r>
      <w:r>
        <w:rPr>
          <w:rFonts w:hint="eastAsia" w:ascii="黑体" w:hAnsi="黑体" w:eastAsia="黑体" w:cs="黑体"/>
          <w:b w:val="0"/>
          <w:bCs w:val="0"/>
          <w:sz w:val="32"/>
          <w:szCs w:val="32"/>
        </w:rPr>
        <w:t>基本概况</w:t>
      </w:r>
      <w:bookmarkEnd w:id="14"/>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东安县环境保护局，是东安县委、县政府领导下的国家行政机关单位，财务核算执行行政单位会计制度。</w:t>
      </w:r>
    </w:p>
    <w:p>
      <w:pPr>
        <w:pageBreakBefore w:val="0"/>
        <w:numPr>
          <w:ilvl w:val="0"/>
          <w:numId w:val="0"/>
        </w:numPr>
        <w:kinsoku/>
        <w:wordWrap/>
        <w:overflowPunct/>
        <w:topLinePunct w:val="0"/>
        <w:autoSpaceDE/>
        <w:autoSpaceDN/>
        <w:bidi w:val="0"/>
        <w:adjustRightInd/>
        <w:snapToGrid/>
        <w:spacing w:line="600" w:lineRule="exact"/>
        <w:ind w:left="0" w:leftChars="0" w:right="0" w:rightChars="0" w:firstLine="643" w:firstLineChars="200"/>
        <w:textAlignment w:val="auto"/>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lang w:eastAsia="zh-CN"/>
        </w:rPr>
        <w:t>（一）机构设置</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rPr>
      </w:pPr>
      <w:bookmarkStart w:id="15" w:name="_Toc413785899"/>
      <w:r>
        <w:rPr>
          <w:rFonts w:hint="eastAsia" w:ascii="仿宋_GB2312" w:hAnsi="仿宋_GB2312" w:eastAsia="仿宋_GB2312" w:cs="仿宋_GB2312"/>
          <w:sz w:val="32"/>
          <w:szCs w:val="32"/>
        </w:rPr>
        <w:t>东安县</w:t>
      </w:r>
      <w:r>
        <w:rPr>
          <w:rFonts w:hint="eastAsia" w:ascii="仿宋_GB2312" w:hAnsi="仿宋_GB2312" w:eastAsia="仿宋_GB2312" w:cs="仿宋_GB2312"/>
          <w:sz w:val="32"/>
          <w:szCs w:val="32"/>
          <w:lang w:bidi="ar-SA"/>
        </w:rPr>
        <w:t>环境保护</w:t>
      </w:r>
      <w:r>
        <w:rPr>
          <w:rFonts w:hint="eastAsia" w:ascii="仿宋_GB2312" w:hAnsi="仿宋_GB2312" w:eastAsia="仿宋_GB2312" w:cs="仿宋_GB2312"/>
          <w:sz w:val="32"/>
          <w:szCs w:val="32"/>
        </w:rPr>
        <w:t>局内设办公室（</w:t>
      </w:r>
      <w:r>
        <w:rPr>
          <w:rFonts w:hint="eastAsia" w:ascii="仿宋_GB2312" w:hAnsi="仿宋_GB2312" w:eastAsia="仿宋_GB2312" w:cs="仿宋_GB2312"/>
          <w:sz w:val="32"/>
          <w:szCs w:val="32"/>
          <w:lang w:bidi="ar-SA"/>
        </w:rPr>
        <w:t>加挂政工室、财务室牌子）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bidi="ar-SA"/>
        </w:rPr>
        <w:t>环境影响评价股（加挂行政审批股牌子）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bidi="ar-SA"/>
        </w:rPr>
        <w:t>污染防治股</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bidi="ar-SA"/>
        </w:rPr>
        <w:t>加挂污染物排放总量控制股、核与辐射管理股、自然保护股牌子）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bidi="ar-SA"/>
        </w:rPr>
        <w:t>法制管理股</w:t>
      </w:r>
      <w:r>
        <w:rPr>
          <w:rFonts w:hint="eastAsia" w:ascii="仿宋_GB2312" w:hAnsi="仿宋_GB2312" w:eastAsia="仿宋_GB2312" w:cs="仿宋_GB2312"/>
          <w:sz w:val="32"/>
          <w:szCs w:val="32"/>
        </w:rPr>
        <w:t>等4</w:t>
      </w:r>
      <w:r>
        <w:rPr>
          <w:rFonts w:hint="eastAsia" w:ascii="仿宋_GB2312" w:hAnsi="仿宋_GB2312" w:eastAsia="仿宋_GB2312" w:cs="仿宋_GB2312"/>
          <w:sz w:val="32"/>
          <w:szCs w:val="32"/>
          <w:lang w:bidi="ar-SA"/>
        </w:rPr>
        <w:t>个机构。</w:t>
      </w:r>
      <w:r>
        <w:rPr>
          <w:rFonts w:hint="eastAsia" w:ascii="仿宋_GB2312" w:hAnsi="仿宋_GB2312" w:eastAsia="仿宋_GB2312" w:cs="仿宋_GB2312"/>
          <w:sz w:val="32"/>
          <w:szCs w:val="32"/>
        </w:rPr>
        <w:t>东安县</w:t>
      </w:r>
      <w:r>
        <w:rPr>
          <w:rFonts w:hint="eastAsia" w:ascii="仿宋_GB2312" w:hAnsi="仿宋_GB2312" w:eastAsia="仿宋_GB2312" w:cs="仿宋_GB2312"/>
          <w:sz w:val="32"/>
          <w:szCs w:val="32"/>
          <w:lang w:bidi="ar-SA"/>
        </w:rPr>
        <w:t>环境保护</w:t>
      </w:r>
      <w:r>
        <w:rPr>
          <w:rFonts w:hint="eastAsia" w:ascii="仿宋_GB2312" w:hAnsi="仿宋_GB2312" w:eastAsia="仿宋_GB2312" w:cs="仿宋_GB2312"/>
          <w:sz w:val="32"/>
          <w:szCs w:val="32"/>
        </w:rPr>
        <w:t>局</w:t>
      </w:r>
      <w:r>
        <w:rPr>
          <w:rFonts w:hint="eastAsia" w:ascii="仿宋_GB2312" w:hAnsi="仿宋_GB2312" w:eastAsia="仿宋_GB2312" w:cs="仿宋_GB2312"/>
          <w:sz w:val="32"/>
          <w:szCs w:val="32"/>
          <w:lang w:bidi="ar-SA"/>
        </w:rPr>
        <w:t>归口管理县环境监察大队、</w:t>
      </w:r>
      <w:r>
        <w:rPr>
          <w:rFonts w:hint="eastAsia" w:ascii="仿宋_GB2312" w:hAnsi="仿宋_GB2312" w:eastAsia="仿宋_GB2312" w:cs="仿宋_GB2312"/>
          <w:sz w:val="32"/>
          <w:szCs w:val="32"/>
        </w:rPr>
        <w:t>东安</w:t>
      </w:r>
      <w:r>
        <w:rPr>
          <w:rFonts w:hint="eastAsia" w:ascii="仿宋_GB2312" w:hAnsi="仿宋_GB2312" w:eastAsia="仿宋_GB2312" w:cs="仿宋_GB2312"/>
          <w:sz w:val="32"/>
          <w:szCs w:val="32"/>
          <w:lang w:bidi="ar-SA"/>
        </w:rPr>
        <w:t>县环境保护监测站、</w:t>
      </w:r>
      <w:r>
        <w:rPr>
          <w:rFonts w:hint="eastAsia" w:ascii="仿宋_GB2312" w:hAnsi="仿宋_GB2312" w:eastAsia="仿宋_GB2312" w:cs="仿宋_GB2312"/>
          <w:sz w:val="32"/>
          <w:szCs w:val="32"/>
        </w:rPr>
        <w:t>东安</w:t>
      </w:r>
      <w:r>
        <w:rPr>
          <w:rFonts w:hint="eastAsia" w:ascii="仿宋_GB2312" w:hAnsi="仿宋_GB2312" w:eastAsia="仿宋_GB2312" w:cs="仿宋_GB2312"/>
          <w:sz w:val="32"/>
          <w:szCs w:val="32"/>
          <w:lang w:bidi="ar-SA"/>
        </w:rPr>
        <w:t>县高岩水库水资源保护管理所等单位</w:t>
      </w:r>
      <w:r>
        <w:rPr>
          <w:rFonts w:hint="eastAsia" w:ascii="仿宋_GB2312" w:hAnsi="仿宋_GB2312" w:eastAsia="仿宋_GB2312" w:cs="仿宋_GB2312"/>
          <w:sz w:val="32"/>
          <w:szCs w:val="32"/>
          <w:lang w:eastAsia="zh-CN" w:bidi="ar-SA"/>
        </w:rPr>
        <w:t>。</w:t>
      </w:r>
      <w:r>
        <w:rPr>
          <w:rFonts w:hint="eastAsia" w:ascii="仿宋_GB2312" w:hAnsi="仿宋_GB2312" w:eastAsia="仿宋_GB2312" w:cs="仿宋_GB2312"/>
          <w:sz w:val="32"/>
          <w:szCs w:val="32"/>
        </w:rPr>
        <w:t xml:space="preserve"> </w:t>
      </w:r>
    </w:p>
    <w:p>
      <w:pPr>
        <w:pageBreakBefore w:val="0"/>
        <w:kinsoku/>
        <w:wordWrap/>
        <w:overflowPunct/>
        <w:topLinePunct w:val="0"/>
        <w:autoSpaceDE/>
        <w:autoSpaceDN/>
        <w:bidi w:val="0"/>
        <w:adjustRightInd/>
        <w:snapToGrid/>
        <w:spacing w:line="600" w:lineRule="exact"/>
        <w:ind w:left="0" w:leftChars="0" w:right="0" w:rightChars="0" w:firstLine="643"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b/>
          <w:bCs/>
          <w:sz w:val="32"/>
          <w:szCs w:val="32"/>
        </w:rPr>
        <w:t>（二）人员编制</w:t>
      </w:r>
      <w:bookmarkEnd w:id="15"/>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eastAsia="zh-CN" w:bidi="ar-SA"/>
        </w:rPr>
        <w:t>东安县环境保护局在职人员编制为</w:t>
      </w:r>
      <w:r>
        <w:rPr>
          <w:rFonts w:hint="eastAsia" w:ascii="仿宋_GB2312" w:hAnsi="仿宋_GB2312" w:eastAsia="仿宋_GB2312" w:cs="仿宋_GB2312"/>
          <w:sz w:val="32"/>
          <w:szCs w:val="32"/>
          <w:lang w:val="en-US" w:eastAsia="zh-CN" w:bidi="ar-SA"/>
        </w:rPr>
        <w:t>56人，其中：</w:t>
      </w:r>
      <w:r>
        <w:rPr>
          <w:rFonts w:hint="eastAsia" w:ascii="仿宋_GB2312" w:hAnsi="仿宋_GB2312" w:eastAsia="仿宋_GB2312" w:cs="仿宋_GB2312"/>
          <w:sz w:val="32"/>
          <w:szCs w:val="32"/>
          <w:lang w:bidi="ar-SA"/>
        </w:rPr>
        <w:t>行政编制５名</w:t>
      </w:r>
      <w:r>
        <w:rPr>
          <w:rFonts w:hint="eastAsia" w:ascii="仿宋_GB2312" w:hAnsi="仿宋_GB2312" w:eastAsia="仿宋_GB2312" w:cs="仿宋_GB2312"/>
          <w:sz w:val="32"/>
          <w:szCs w:val="32"/>
          <w:lang w:eastAsia="zh-CN" w:bidi="ar-SA"/>
        </w:rPr>
        <w:t>，</w:t>
      </w:r>
      <w:r>
        <w:rPr>
          <w:rFonts w:hint="eastAsia" w:ascii="仿宋_GB2312" w:hAnsi="仿宋_GB2312" w:eastAsia="仿宋_GB2312" w:cs="仿宋_GB2312"/>
          <w:sz w:val="32"/>
          <w:szCs w:val="32"/>
          <w:lang w:val="en-US" w:eastAsia="zh-CN" w:bidi="ar-SA"/>
        </w:rPr>
        <w:t>参照公务员管理的事业编制45名，事业编制6名。</w:t>
      </w:r>
      <w:r>
        <w:rPr>
          <w:rFonts w:hint="eastAsia" w:ascii="仿宋_GB2312" w:hAnsi="仿宋_GB2312" w:eastAsia="仿宋_GB2312" w:cs="仿宋_GB2312"/>
          <w:sz w:val="32"/>
          <w:szCs w:val="32"/>
          <w:lang w:bidi="ar-SA"/>
        </w:rPr>
        <w:t>201</w:t>
      </w:r>
      <w:r>
        <w:rPr>
          <w:rFonts w:hint="eastAsia" w:ascii="仿宋_GB2312" w:hAnsi="仿宋_GB2312" w:eastAsia="仿宋_GB2312" w:cs="仿宋_GB2312"/>
          <w:sz w:val="32"/>
          <w:szCs w:val="32"/>
          <w:lang w:val="en-US" w:eastAsia="zh-CN" w:bidi="ar-SA"/>
        </w:rPr>
        <w:t>7</w:t>
      </w:r>
      <w:r>
        <w:rPr>
          <w:rFonts w:hint="eastAsia" w:ascii="仿宋_GB2312" w:hAnsi="仿宋_GB2312" w:eastAsia="仿宋_GB2312" w:cs="仿宋_GB2312"/>
          <w:sz w:val="32"/>
          <w:szCs w:val="32"/>
          <w:lang w:bidi="ar-SA"/>
        </w:rPr>
        <w:t>年</w:t>
      </w:r>
      <w:r>
        <w:rPr>
          <w:rFonts w:hint="eastAsia" w:ascii="仿宋_GB2312" w:hAnsi="仿宋_GB2312" w:eastAsia="仿宋_GB2312" w:cs="仿宋_GB2312"/>
          <w:sz w:val="32"/>
          <w:szCs w:val="32"/>
          <w:lang w:eastAsia="zh-CN" w:bidi="ar-SA"/>
        </w:rPr>
        <w:t>底</w:t>
      </w:r>
      <w:r>
        <w:rPr>
          <w:rFonts w:hint="eastAsia" w:ascii="仿宋_GB2312" w:hAnsi="仿宋_GB2312" w:eastAsia="仿宋_GB2312" w:cs="仿宋_GB2312"/>
          <w:sz w:val="32"/>
          <w:szCs w:val="32"/>
          <w:lang w:bidi="ar-SA"/>
        </w:rPr>
        <w:t>在职人员 5</w:t>
      </w:r>
      <w:r>
        <w:rPr>
          <w:rFonts w:hint="eastAsia" w:ascii="仿宋_GB2312" w:hAnsi="仿宋_GB2312" w:eastAsia="仿宋_GB2312" w:cs="仿宋_GB2312"/>
          <w:sz w:val="32"/>
          <w:szCs w:val="32"/>
          <w:lang w:val="en-US" w:eastAsia="zh-CN" w:bidi="ar-SA"/>
        </w:rPr>
        <w:t>6</w:t>
      </w:r>
      <w:r>
        <w:rPr>
          <w:rFonts w:hint="eastAsia" w:ascii="仿宋_GB2312" w:hAnsi="仿宋_GB2312" w:eastAsia="仿宋_GB2312" w:cs="仿宋_GB2312"/>
          <w:sz w:val="32"/>
          <w:szCs w:val="32"/>
          <w:lang w:bidi="ar-SA"/>
        </w:rPr>
        <w:t>人，比上年度</w:t>
      </w:r>
      <w:r>
        <w:rPr>
          <w:rFonts w:hint="eastAsia" w:ascii="仿宋_GB2312" w:hAnsi="仿宋_GB2312" w:eastAsia="仿宋_GB2312" w:cs="仿宋_GB2312"/>
          <w:sz w:val="32"/>
          <w:szCs w:val="32"/>
          <w:lang w:val="en-US" w:eastAsia="zh-CN" w:bidi="ar-SA"/>
        </w:rPr>
        <w:t>减少1</w:t>
      </w:r>
      <w:r>
        <w:rPr>
          <w:rFonts w:hint="eastAsia" w:ascii="仿宋_GB2312" w:hAnsi="仿宋_GB2312" w:eastAsia="仿宋_GB2312" w:cs="仿宋_GB2312"/>
          <w:sz w:val="32"/>
          <w:szCs w:val="32"/>
          <w:lang w:bidi="ar-SA"/>
        </w:rPr>
        <w:t xml:space="preserve"> 人，变动原因为退</w:t>
      </w:r>
      <w:r>
        <w:rPr>
          <w:rFonts w:hint="eastAsia" w:ascii="仿宋_GB2312" w:hAnsi="仿宋_GB2312" w:eastAsia="仿宋_GB2312" w:cs="仿宋_GB2312"/>
          <w:sz w:val="32"/>
          <w:szCs w:val="32"/>
          <w:lang w:val="en-US" w:eastAsia="zh-CN" w:bidi="ar-SA"/>
        </w:rPr>
        <w:t>休1人，属正常人员异动。退休人员9人，遗嘱抚养人员2人，公务用车1辆（统一交由县公车改制办管理）。</w:t>
      </w:r>
    </w:p>
    <w:p>
      <w:pPr>
        <w:pageBreakBefore w:val="0"/>
        <w:kinsoku/>
        <w:wordWrap/>
        <w:overflowPunct/>
        <w:topLinePunct w:val="0"/>
        <w:autoSpaceDE/>
        <w:autoSpaceDN/>
        <w:bidi w:val="0"/>
        <w:adjustRightInd/>
        <w:snapToGrid/>
        <w:spacing w:line="600" w:lineRule="exact"/>
        <w:ind w:left="0" w:leftChars="0" w:right="0" w:rightChars="0" w:firstLine="643" w:firstLineChars="200"/>
        <w:textAlignment w:val="auto"/>
        <w:rPr>
          <w:rFonts w:hint="eastAsia" w:ascii="楷体_GB2312" w:hAnsi="楷体_GB2312" w:eastAsia="楷体_GB2312" w:cs="楷体_GB2312"/>
          <w:b/>
          <w:bCs/>
          <w:sz w:val="32"/>
          <w:szCs w:val="32"/>
        </w:rPr>
      </w:pPr>
      <w:bookmarkStart w:id="16" w:name="_Toc413785900"/>
      <w:r>
        <w:rPr>
          <w:rFonts w:hint="eastAsia" w:ascii="楷体_GB2312" w:hAnsi="楷体_GB2312" w:eastAsia="楷体_GB2312" w:cs="楷体_GB2312"/>
          <w:b/>
          <w:bCs/>
          <w:sz w:val="32"/>
          <w:szCs w:val="32"/>
        </w:rPr>
        <w:t>（三）主要</w:t>
      </w:r>
      <w:bookmarkEnd w:id="16"/>
      <w:r>
        <w:rPr>
          <w:rFonts w:hint="eastAsia" w:ascii="楷体_GB2312" w:hAnsi="楷体_GB2312" w:eastAsia="楷体_GB2312" w:cs="楷体_GB2312"/>
          <w:b/>
          <w:bCs/>
          <w:sz w:val="32"/>
          <w:szCs w:val="32"/>
        </w:rPr>
        <w:t>职责</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bookmarkStart w:id="17" w:name="_Toc413785901"/>
      <w:r>
        <w:rPr>
          <w:rFonts w:hint="eastAsia" w:ascii="仿宋_GB2312" w:hAnsi="仿宋_GB2312" w:eastAsia="仿宋_GB2312" w:cs="仿宋_GB2312"/>
          <w:sz w:val="32"/>
          <w:szCs w:val="32"/>
          <w:lang w:val="en-US" w:eastAsia="zh-CN" w:bidi="ar-SA"/>
        </w:rPr>
        <w:t>1、贯彻执行国家和省、市环境保护的方针、政策和法律、法规，拟定全县环境保护和环境保护技术规范性文件，并监督实施；受县政府委托对经济和技术政策、发展规划以及经济开发计划进行环境影响评价；拟定全县环境保护规划和计划，组织拟定和监督实施省、市、县确定的重点区域、重点流域污染防治规划和生态保护规划；组织编制全县环境功能区划。</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2、组织实施国家和省、市有关大气、水体、土壤、噪声、固体废物、有毒化学品以及机动车等的污染防治法规、规章和管理办法；组织制订全县污染物排放总量计划；协办用作原料的废物进出口许可工作；参与有毒化学品进出口登记和管理的有关工作。</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3、监督对生态环境有影响的自然资源开发利用活动、重要生态环境建设和生态破坏恢复工作；监督检查各种类型自然保护区以及风景名胜区、森林公园环境保护工作；监督检查生物多样性保护、野生动植物保护等工作；承办县内新建市级、省级和国家级自然保护区的申报等有关工作。</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4、指导和协调解决全县重大环境问题；调查处理重大环境污染事故和生态破坏案件；协调县内环境污染纠纷；组织和协调县内重点流域、水域水污染防治工作；负责环境监理和环境保护行政稽查；组织开展全县环境保护执法检查活动。</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5、监督实施国家和省、市有关环境质量标准和污染物排放标准；审核城市总体规划中的环境保护内容；组织编报全县环境质量报告书、发布环境状况公报；参与编制我县可持续发展纲要。</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6、拟定和组织实施各项环境管理制度；按国家规定审定全县开发建设项目环境影响报告书（表）；指导城乡环境综合整治，并负责城市环境综合整治及定量考核工作；监督管理农村生态环境保护，指导全县生态示范区建设和生态农业建设。</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7、组织发展环境保护科技，抓好科学研究和技术示范工程；管理全县环境管理体系认证和环境标志认证；建立和组织实施环境保护资质认可制度；指导和推动环境保护产业发展。</w:t>
      </w:r>
    </w:p>
    <w:p>
      <w:pPr>
        <w:pageBreakBefore w:val="0"/>
        <w:kinsoku/>
        <w:wordWrap/>
        <w:overflowPunct/>
        <w:topLinePunct w:val="0"/>
        <w:autoSpaceDE/>
        <w:autoSpaceDN/>
        <w:bidi w:val="0"/>
        <w:adjustRightInd/>
        <w:snapToGrid/>
        <w:spacing w:line="600" w:lineRule="exact"/>
        <w:ind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8、负责环境监测、统计、信息工作；制订全县性环境监测制度和规范；组织建设和管理全县环境监测网和环境信息网；组织对全县环境质量监测和污染源监督性监测。</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9、贯彻执行国家关于全球环境问题的基本原则；负责全县环境保护国际国内合作交流工作；管理和组织协调环境保护国际条约县内履约活动；管理全县环境保护对外经济合作；协调与履约有关的利用外资项目；受县政府委托处理涉外环境保护事务。</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10、负责全县辐射环境、放射性废物管理工作，参与核事故、辐射环境事故应急处理工作；对电磁辐射、核技术应用、伴有放射性矿产资源开发利用中的污染防治工作实行统一监督管理；对核材料的管制实施安全监督。</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11、组织、指导和协调全县环境保护宣传教育工作；推动公众和非政府组织参与环境保护。</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12、负责办理本级的专业技术职务评审、工人技术等级评定等有关工作；规划和实施环境保护在职人员培训教育和精神文明建设工作。</w:t>
      </w:r>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r>
        <w:rPr>
          <w:rFonts w:hint="eastAsia" w:ascii="仿宋_GB2312" w:hAnsi="仿宋_GB2312" w:eastAsia="仿宋_GB2312" w:cs="仿宋_GB2312"/>
          <w:sz w:val="32"/>
          <w:szCs w:val="32"/>
          <w:lang w:val="en-US" w:eastAsia="zh-CN" w:bidi="ar-SA"/>
        </w:rPr>
        <w:t>13、承办县委、县政府交办的其他事项。</w:t>
      </w:r>
    </w:p>
    <w:p>
      <w:pPr>
        <w:pageBreakBefore w:val="0"/>
        <w:kinsoku/>
        <w:wordWrap/>
        <w:overflowPunct/>
        <w:topLinePunct w:val="0"/>
        <w:autoSpaceDE/>
        <w:autoSpaceDN/>
        <w:bidi w:val="0"/>
        <w:adjustRightInd/>
        <w:snapToGrid/>
        <w:spacing w:line="600" w:lineRule="exact"/>
        <w:ind w:left="0" w:leftChars="0" w:right="0" w:rightChars="0" w:firstLine="643" w:firstLineChars="200"/>
        <w:jc w:val="left"/>
        <w:textAlignment w:val="auto"/>
        <w:rPr>
          <w:rFonts w:hint="eastAsia" w:ascii="楷体_GB2312" w:hAnsi="楷体_GB2312" w:eastAsia="楷体_GB2312" w:cs="楷体_GB2312"/>
          <w:b/>
          <w:bCs/>
          <w:sz w:val="32"/>
          <w:szCs w:val="32"/>
          <w:lang w:val="en-US" w:eastAsia="zh-CN" w:bidi="ar-SA"/>
        </w:rPr>
      </w:pPr>
      <w:r>
        <w:rPr>
          <w:rFonts w:hint="eastAsia" w:ascii="楷体_GB2312" w:hAnsi="楷体_GB2312" w:eastAsia="楷体_GB2312" w:cs="楷体_GB2312"/>
          <w:b/>
          <w:bCs/>
          <w:sz w:val="32"/>
          <w:szCs w:val="32"/>
          <w:lang w:val="en-US" w:eastAsia="zh-CN" w:bidi="ar-SA"/>
        </w:rPr>
        <w:t>（四）部门整体支出管理办法</w:t>
      </w:r>
      <w:bookmarkEnd w:id="17"/>
    </w:p>
    <w:p>
      <w:pPr>
        <w:pageBreakBefore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lang w:val="en-US" w:eastAsia="zh-CN" w:bidi="ar-SA"/>
        </w:rPr>
      </w:pPr>
      <w:bookmarkStart w:id="18" w:name="_Toc413785902"/>
      <w:r>
        <w:rPr>
          <w:rFonts w:hint="eastAsia" w:ascii="仿宋_GB2312" w:hAnsi="仿宋_GB2312" w:eastAsia="仿宋_GB2312" w:cs="仿宋_GB2312"/>
          <w:sz w:val="32"/>
          <w:szCs w:val="32"/>
          <w:lang w:val="en-US" w:eastAsia="zh-CN" w:bidi="ar-SA"/>
        </w:rPr>
        <w:t>为加强部门整体支出管理，加强固定资产管理，提高资金和资产的使用效益，提高财务的精细化管理水平，东安县环境保护局日常的经费开支参照《永州市关于按标准安排公务接待工作餐和交纳因公出差伙食费的通知》（永办发[2018]13号）、《东安县财政局关于明确公务接待工作餐开支标准和因公出差伙食补助标准等有关事项的（试行）通知》（东财办[2018]31号）、《东安县行政事业单位差旅费管理办法》（东办[2015]19号）、《东安县财政局关于调整行政事业单位差旅住宿费标准等有关问题的通知》（东财行[2016]2号）等有关规定，切实厉行节约。根据《会计核算制度》等相关制度对预算管理、收支管理、车辆管理、接待工作管理、出差管理、物品的添加和管理、资产管理、基建管理、涉案财物管理、财务人员管理、纪律等方面做了详细规定。</w:t>
      </w:r>
    </w:p>
    <w:p>
      <w:pPr>
        <w:pStyle w:val="2"/>
        <w:pageBreakBefore w:val="0"/>
        <w:widowControl w:val="0"/>
        <w:kinsoku/>
        <w:wordWrap/>
        <w:overflowPunct/>
        <w:topLinePunct w:val="0"/>
        <w:autoSpaceDE/>
        <w:autoSpaceDN/>
        <w:bidi w:val="0"/>
        <w:adjustRightInd/>
        <w:snapToGrid/>
        <w:spacing w:before="0" w:after="0" w:line="600" w:lineRule="exact"/>
        <w:ind w:left="0" w:leftChars="0" w:right="0" w:rightChars="0" w:firstLine="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b w:val="0"/>
          <w:bCs w:val="0"/>
          <w:sz w:val="32"/>
          <w:szCs w:val="32"/>
        </w:rPr>
        <w:t xml:space="preserve"> </w:t>
      </w:r>
      <w:r>
        <w:rPr>
          <w:rFonts w:hint="eastAsia" w:ascii="仿宋_GB2312" w:hAnsi="仿宋_GB2312" w:eastAsia="仿宋_GB2312" w:cs="仿宋_GB2312"/>
          <w:b w:val="0"/>
          <w:bCs w:val="0"/>
          <w:kern w:val="2"/>
          <w:sz w:val="32"/>
          <w:szCs w:val="32"/>
        </w:rPr>
        <w:t xml:space="preserve"> </w:t>
      </w:r>
      <w:r>
        <w:rPr>
          <w:rFonts w:hint="eastAsia" w:ascii="黑体" w:hAnsi="黑体" w:eastAsia="黑体" w:cs="黑体"/>
          <w:b w:val="0"/>
          <w:bCs w:val="0"/>
          <w:sz w:val="32"/>
          <w:szCs w:val="32"/>
          <w:lang w:eastAsia="zh-CN"/>
        </w:rPr>
        <w:t>二、部门整体支出规模、使用方向和内容</w:t>
      </w:r>
      <w:bookmarkEnd w:id="18"/>
    </w:p>
    <w:p>
      <w:pPr>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rPr>
          <w:rFonts w:hint="eastAsia" w:ascii="仿宋_GB2312" w:hAnsi="仿宋_GB2312" w:eastAsia="仿宋_GB2312" w:cs="仿宋_GB2312"/>
          <w:sz w:val="32"/>
          <w:szCs w:val="32"/>
        </w:rPr>
      </w:pPr>
      <w:bookmarkStart w:id="19" w:name="_Toc413785903"/>
      <w:r>
        <w:rPr>
          <w:rFonts w:hint="eastAsia" w:ascii="仿宋_GB2312" w:hAnsi="仿宋_GB2312" w:eastAsia="仿宋_GB2312" w:cs="仿宋_GB2312"/>
          <w:sz w:val="32"/>
          <w:szCs w:val="32"/>
        </w:rPr>
        <w:t xml:space="preserve">  </w:t>
      </w:r>
      <w:r>
        <w:rPr>
          <w:rFonts w:hint="eastAsia" w:ascii="楷体_GB2312" w:hAnsi="楷体_GB2312" w:eastAsia="楷体_GB2312" w:cs="楷体_GB2312"/>
          <w:sz w:val="32"/>
          <w:szCs w:val="32"/>
        </w:rPr>
        <w:t xml:space="preserve"> </w:t>
      </w:r>
      <w:r>
        <w:rPr>
          <w:rFonts w:hint="eastAsia" w:ascii="楷体_GB2312" w:hAnsi="楷体_GB2312" w:eastAsia="楷体_GB2312" w:cs="楷体_GB2312"/>
          <w:b/>
          <w:bCs/>
          <w:color w:val="333333"/>
          <w:sz w:val="32"/>
          <w:szCs w:val="32"/>
          <w:shd w:val="clear" w:color="auto" w:fill="FFFFFF"/>
        </w:rPr>
        <w:t>（一）年度预算收支情况</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1</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color w:val="333333"/>
          <w:sz w:val="32"/>
          <w:szCs w:val="32"/>
          <w:shd w:val="clear" w:color="auto" w:fill="FFFFFF"/>
        </w:rPr>
        <w:t>年初预算收支情况</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根据</w:t>
      </w:r>
      <w:r>
        <w:rPr>
          <w:rFonts w:hint="eastAsia" w:ascii="仿宋_GB2312" w:hAnsi="仿宋_GB2312" w:eastAsia="仿宋_GB2312" w:cs="仿宋_GB2312"/>
          <w:sz w:val="32"/>
          <w:szCs w:val="32"/>
          <w:lang w:val="en-US" w:eastAsia="zh-CN"/>
        </w:rPr>
        <w:t>东安县环境保护局</w:t>
      </w:r>
      <w:r>
        <w:rPr>
          <w:rFonts w:hint="eastAsia" w:ascii="仿宋_GB2312" w:hAnsi="仿宋_GB2312" w:eastAsia="仿宋_GB2312" w:cs="仿宋_GB2312"/>
          <w:color w:val="333333"/>
          <w:sz w:val="32"/>
          <w:szCs w:val="32"/>
          <w:shd w:val="clear" w:color="auto" w:fill="FFFFFF"/>
        </w:rPr>
        <w:t>提供的201</w:t>
      </w:r>
      <w:r>
        <w:rPr>
          <w:rFonts w:hint="eastAsia" w:ascii="仿宋_GB2312" w:hAnsi="仿宋_GB2312" w:eastAsia="仿宋_GB2312" w:cs="仿宋_GB2312"/>
          <w:color w:val="333333"/>
          <w:sz w:val="32"/>
          <w:szCs w:val="32"/>
          <w:shd w:val="clear" w:color="auto" w:fill="FFFFFF"/>
          <w:lang w:val="en-US" w:eastAsia="zh-CN"/>
        </w:rPr>
        <w:t>7</w:t>
      </w:r>
      <w:r>
        <w:rPr>
          <w:rFonts w:hint="eastAsia" w:ascii="仿宋_GB2312" w:hAnsi="仿宋_GB2312" w:eastAsia="仿宋_GB2312" w:cs="仿宋_GB2312"/>
          <w:color w:val="333333"/>
          <w:sz w:val="32"/>
          <w:szCs w:val="32"/>
          <w:shd w:val="clear" w:color="auto" w:fill="FFFFFF"/>
        </w:rPr>
        <w:t>年</w:t>
      </w:r>
      <w:r>
        <w:rPr>
          <w:rFonts w:hint="eastAsia" w:ascii="仿宋_GB2312" w:hAnsi="仿宋_GB2312" w:eastAsia="仿宋_GB2312" w:cs="仿宋_GB2312"/>
          <w:color w:val="333333"/>
          <w:sz w:val="32"/>
          <w:szCs w:val="32"/>
          <w:shd w:val="clear" w:color="auto" w:fill="FFFFFF"/>
          <w:lang w:eastAsia="zh-CN"/>
        </w:rPr>
        <w:t>县</w:t>
      </w:r>
      <w:r>
        <w:rPr>
          <w:rFonts w:hint="eastAsia" w:ascii="仿宋_GB2312" w:hAnsi="仿宋_GB2312" w:eastAsia="仿宋_GB2312" w:cs="仿宋_GB2312"/>
          <w:color w:val="333333"/>
          <w:sz w:val="32"/>
          <w:szCs w:val="32"/>
          <w:shd w:val="clear" w:color="auto" w:fill="FFFFFF"/>
        </w:rPr>
        <w:t>本级部门预算报表资料，201</w:t>
      </w:r>
      <w:r>
        <w:rPr>
          <w:rFonts w:hint="eastAsia" w:ascii="仿宋_GB2312" w:hAnsi="仿宋_GB2312" w:eastAsia="仿宋_GB2312" w:cs="仿宋_GB2312"/>
          <w:color w:val="333333"/>
          <w:sz w:val="32"/>
          <w:szCs w:val="32"/>
          <w:shd w:val="clear" w:color="auto" w:fill="FFFFFF"/>
          <w:lang w:val="en-US" w:eastAsia="zh-CN"/>
        </w:rPr>
        <w:t>7</w:t>
      </w:r>
      <w:r>
        <w:rPr>
          <w:rFonts w:hint="eastAsia" w:ascii="仿宋_GB2312" w:hAnsi="仿宋_GB2312" w:eastAsia="仿宋_GB2312" w:cs="仿宋_GB2312"/>
          <w:color w:val="333333"/>
          <w:sz w:val="32"/>
          <w:szCs w:val="32"/>
          <w:shd w:val="clear" w:color="auto" w:fill="FFFFFF"/>
        </w:rPr>
        <w:t>年度</w:t>
      </w:r>
      <w:r>
        <w:rPr>
          <w:rFonts w:hint="eastAsia" w:ascii="仿宋_GB2312" w:hAnsi="仿宋_GB2312" w:eastAsia="仿宋_GB2312" w:cs="仿宋_GB2312"/>
          <w:sz w:val="32"/>
          <w:szCs w:val="32"/>
          <w:lang w:val="en-US" w:eastAsia="zh-CN"/>
        </w:rPr>
        <w:t>东安县环境保护局</w:t>
      </w:r>
      <w:r>
        <w:rPr>
          <w:rFonts w:hint="eastAsia" w:ascii="仿宋_GB2312" w:hAnsi="仿宋_GB2312" w:eastAsia="仿宋_GB2312" w:cs="仿宋_GB2312"/>
          <w:color w:val="333333"/>
          <w:sz w:val="32"/>
          <w:szCs w:val="32"/>
          <w:shd w:val="clear" w:color="auto" w:fill="FFFFFF"/>
          <w:lang w:eastAsia="zh-CN"/>
        </w:rPr>
        <w:t>县</w:t>
      </w:r>
      <w:r>
        <w:rPr>
          <w:rFonts w:hint="eastAsia" w:ascii="仿宋_GB2312" w:hAnsi="仿宋_GB2312" w:eastAsia="仿宋_GB2312" w:cs="仿宋_GB2312"/>
          <w:color w:val="333333"/>
          <w:sz w:val="32"/>
          <w:szCs w:val="32"/>
          <w:shd w:val="clear" w:color="auto" w:fill="FFFFFF"/>
        </w:rPr>
        <w:t>本级</w:t>
      </w:r>
      <w:r>
        <w:rPr>
          <w:rFonts w:hint="eastAsia" w:ascii="仿宋_GB2312" w:hAnsi="仿宋_GB2312" w:eastAsia="仿宋_GB2312" w:cs="仿宋_GB2312"/>
          <w:color w:val="333333"/>
          <w:sz w:val="32"/>
          <w:szCs w:val="32"/>
          <w:shd w:val="clear" w:color="auto" w:fill="FFFFFF"/>
          <w:lang w:eastAsia="zh-CN"/>
        </w:rPr>
        <w:t>财政</w:t>
      </w:r>
      <w:r>
        <w:rPr>
          <w:rFonts w:hint="eastAsia" w:ascii="仿宋_GB2312" w:hAnsi="仿宋_GB2312" w:eastAsia="仿宋_GB2312" w:cs="仿宋_GB2312"/>
          <w:color w:val="333333"/>
          <w:sz w:val="32"/>
          <w:szCs w:val="32"/>
          <w:shd w:val="clear" w:color="auto" w:fill="FFFFFF"/>
        </w:rPr>
        <w:t>预算收支情况如下表：</w:t>
      </w:r>
    </w:p>
    <w:tbl>
      <w:tblPr>
        <w:tblStyle w:val="29"/>
        <w:tblW w:w="9040" w:type="dxa"/>
        <w:tblInd w:w="84" w:type="dxa"/>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
      <w:tblGrid>
        <w:gridCol w:w="2410"/>
        <w:gridCol w:w="1983"/>
        <w:gridCol w:w="2461"/>
        <w:gridCol w:w="2186"/>
      </w:tblGrid>
      <w:tr>
        <w:tblPrEx>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Ex>
        <w:trPr>
          <w:trHeight w:val="370" w:hRule="atLeast"/>
        </w:trPr>
        <w:tc>
          <w:tcPr>
            <w:tcW w:w="2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预算项目</w:t>
            </w:r>
          </w:p>
        </w:tc>
        <w:tc>
          <w:tcPr>
            <w:tcW w:w="198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金额（万元）</w:t>
            </w:r>
          </w:p>
        </w:tc>
        <w:tc>
          <w:tcPr>
            <w:tcW w:w="246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预算项目</w:t>
            </w:r>
          </w:p>
        </w:tc>
        <w:tc>
          <w:tcPr>
            <w:tcW w:w="21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金额 （万元）</w:t>
            </w:r>
          </w:p>
        </w:tc>
      </w:tr>
      <w:tr>
        <w:tblPrEx>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Ex>
        <w:trPr>
          <w:trHeight w:val="345" w:hRule="atLeast"/>
        </w:trPr>
        <w:tc>
          <w:tcPr>
            <w:tcW w:w="2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收入预算</w:t>
            </w:r>
          </w:p>
        </w:tc>
        <w:tc>
          <w:tcPr>
            <w:tcW w:w="198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627.399</w:t>
            </w:r>
          </w:p>
        </w:tc>
        <w:tc>
          <w:tcPr>
            <w:tcW w:w="246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支出预算</w:t>
            </w:r>
          </w:p>
        </w:tc>
        <w:tc>
          <w:tcPr>
            <w:tcW w:w="21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627.399</w:t>
            </w:r>
          </w:p>
        </w:tc>
      </w:tr>
      <w:tr>
        <w:tblPrEx>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Ex>
        <w:trPr>
          <w:trHeight w:val="345" w:hRule="atLeast"/>
        </w:trPr>
        <w:tc>
          <w:tcPr>
            <w:tcW w:w="2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正常经费拨款</w:t>
            </w:r>
          </w:p>
        </w:tc>
        <w:tc>
          <w:tcPr>
            <w:tcW w:w="198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467.399</w:t>
            </w:r>
          </w:p>
        </w:tc>
        <w:tc>
          <w:tcPr>
            <w:tcW w:w="246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基本支出</w:t>
            </w:r>
          </w:p>
        </w:tc>
        <w:tc>
          <w:tcPr>
            <w:tcW w:w="21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627.399</w:t>
            </w:r>
          </w:p>
        </w:tc>
      </w:tr>
      <w:tr>
        <w:tblPrEx>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Ex>
        <w:trPr>
          <w:trHeight w:val="345" w:hRule="atLeast"/>
        </w:trPr>
        <w:tc>
          <w:tcPr>
            <w:tcW w:w="2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sz w:val="21"/>
                <w:szCs w:val="21"/>
                <w:u w:val="none"/>
              </w:rPr>
              <w:t>专项经费拨款</w:t>
            </w:r>
          </w:p>
        </w:tc>
        <w:tc>
          <w:tcPr>
            <w:tcW w:w="198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100.00</w:t>
            </w:r>
          </w:p>
        </w:tc>
        <w:tc>
          <w:tcPr>
            <w:tcW w:w="246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项目支出</w:t>
            </w:r>
          </w:p>
        </w:tc>
        <w:tc>
          <w:tcPr>
            <w:tcW w:w="2186" w:type="dxa"/>
            <w:tcBorders>
              <w:tl2br w:val="nil"/>
              <w:tr2bl w:val="nil"/>
            </w:tcBorders>
            <w:noWrap w:val="0"/>
            <w:vAlign w:val="center"/>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right"/>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0</w:t>
            </w:r>
          </w:p>
        </w:tc>
      </w:tr>
      <w:tr>
        <w:tblPrEx>
          <w:tblBorders>
            <w:top w:val="single" w:color="000000" w:sz="18" w:space="0"/>
            <w:left w:val="none" w:color="auto" w:sz="0" w:space="0"/>
            <w:bottom w:val="single" w:color="000000" w:sz="18" w:space="0"/>
            <w:right w:val="none" w:color="auto" w:sz="0" w:space="0"/>
            <w:insideH w:val="dotted" w:color="000000" w:sz="4" w:space="0"/>
            <w:insideV w:val="dotted" w:color="000000" w:sz="4" w:space="0"/>
          </w:tblBorders>
          <w:tblLayout w:type="fixed"/>
          <w:tblCellMar>
            <w:top w:w="15" w:type="dxa"/>
            <w:left w:w="15" w:type="dxa"/>
            <w:bottom w:w="15" w:type="dxa"/>
            <w:right w:w="15" w:type="dxa"/>
          </w:tblCellMar>
        </w:tblPrEx>
        <w:trPr>
          <w:trHeight w:val="378" w:hRule="atLeast"/>
        </w:trPr>
        <w:tc>
          <w:tcPr>
            <w:tcW w:w="2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非税收入拨款</w:t>
            </w:r>
          </w:p>
        </w:tc>
        <w:tc>
          <w:tcPr>
            <w:tcW w:w="198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lang w:val="en-US" w:eastAsia="zh-CN"/>
              </w:rPr>
            </w:pPr>
            <w:r>
              <w:rPr>
                <w:rFonts w:hint="eastAsia" w:ascii="仿宋_GB2312" w:hAnsi="仿宋_GB2312" w:eastAsia="仿宋_GB2312" w:cs="仿宋_GB2312"/>
                <w:i w:val="0"/>
                <w:color w:val="000000"/>
                <w:sz w:val="21"/>
                <w:szCs w:val="21"/>
                <w:u w:val="none"/>
                <w:lang w:val="en-US" w:eastAsia="zh-CN"/>
              </w:rPr>
              <w:t>60.00</w:t>
            </w:r>
          </w:p>
        </w:tc>
        <w:tc>
          <w:tcPr>
            <w:tcW w:w="246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_GB2312" w:hAnsi="仿宋_GB2312" w:eastAsia="仿宋_GB2312" w:cs="仿宋_GB2312"/>
                <w:i w:val="0"/>
                <w:color w:val="000000"/>
                <w:sz w:val="21"/>
                <w:szCs w:val="21"/>
                <w:u w:val="none"/>
              </w:rPr>
            </w:pPr>
          </w:p>
        </w:tc>
        <w:tc>
          <w:tcPr>
            <w:tcW w:w="21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right="0" w:rightChars="0" w:firstLine="0" w:firstLineChars="0"/>
              <w:jc w:val="right"/>
              <w:textAlignment w:val="center"/>
              <w:outlineLvl w:val="9"/>
              <w:rPr>
                <w:rFonts w:hint="eastAsia" w:ascii="仿宋_GB2312" w:hAnsi="仿宋_GB2312" w:eastAsia="仿宋_GB2312" w:cs="仿宋_GB2312"/>
                <w:i w:val="0"/>
                <w:color w:val="000000"/>
                <w:sz w:val="21"/>
                <w:szCs w:val="21"/>
                <w:u w:val="none"/>
              </w:rPr>
            </w:pP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outlineLvl w:val="9"/>
        <w:rPr>
          <w:rFonts w:hint="eastAsia" w:ascii="仿宋_GB2312" w:hAnsi="仿宋_GB2312" w:eastAsia="仿宋_GB2312" w:cs="仿宋_GB2312"/>
          <w:color w:val="333333"/>
          <w:sz w:val="32"/>
          <w:szCs w:val="32"/>
          <w:highlight w:val="none"/>
          <w:shd w:val="clear" w:color="auto" w:fill="FFFFFF"/>
        </w:rPr>
      </w:pPr>
      <w:r>
        <w:rPr>
          <w:rFonts w:hint="eastAsia" w:ascii="仿宋_GB2312" w:hAnsi="仿宋_GB2312" w:eastAsia="仿宋_GB2312" w:cs="仿宋_GB2312"/>
          <w:b/>
          <w:bCs/>
          <w:color w:val="333333"/>
          <w:sz w:val="32"/>
          <w:szCs w:val="32"/>
          <w:highlight w:val="none"/>
          <w:shd w:val="clear" w:color="auto" w:fill="FFFFFF"/>
          <w:lang w:val="en-US" w:eastAsia="zh-CN"/>
        </w:rPr>
        <w:t>2</w:t>
      </w:r>
      <w:r>
        <w:rPr>
          <w:rFonts w:hint="eastAsia" w:ascii="仿宋_GB2312" w:hAnsi="仿宋_GB2312" w:eastAsia="仿宋_GB2312" w:cs="仿宋_GB2312"/>
          <w:b/>
          <w:bCs/>
          <w:color w:val="333333"/>
          <w:sz w:val="32"/>
          <w:szCs w:val="32"/>
          <w:highlight w:val="none"/>
          <w:shd w:val="clear" w:color="auto" w:fill="FFFFFF"/>
          <w:lang w:eastAsia="zh-CN"/>
        </w:rPr>
        <w:t>、</w:t>
      </w:r>
      <w:r>
        <w:rPr>
          <w:rFonts w:hint="eastAsia" w:ascii="仿宋_GB2312" w:hAnsi="仿宋_GB2312" w:eastAsia="仿宋_GB2312" w:cs="仿宋_GB2312"/>
          <w:b/>
          <w:bCs/>
          <w:color w:val="333333"/>
          <w:sz w:val="32"/>
          <w:szCs w:val="32"/>
          <w:highlight w:val="none"/>
          <w:shd w:val="clear" w:color="auto" w:fill="FFFFFF"/>
        </w:rPr>
        <w:t>年度财政预算整体支出使用范围、方向和内容</w:t>
      </w:r>
    </w:p>
    <w:tbl>
      <w:tblPr>
        <w:tblStyle w:val="29"/>
        <w:tblW w:w="8920" w:type="dxa"/>
        <w:tblInd w:w="203" w:type="dxa"/>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3116"/>
        <w:gridCol w:w="2035"/>
        <w:gridCol w:w="1996"/>
        <w:gridCol w:w="1773"/>
      </w:tblGrid>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03" w:hRule="atLeast"/>
        </w:trPr>
        <w:tc>
          <w:tcPr>
            <w:tcW w:w="3116"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支出项目</w:t>
            </w:r>
          </w:p>
        </w:tc>
        <w:tc>
          <w:tcPr>
            <w:tcW w:w="2035"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基本支出（万元）</w:t>
            </w:r>
          </w:p>
        </w:tc>
        <w:tc>
          <w:tcPr>
            <w:tcW w:w="1996"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项目支出（万元）</w:t>
            </w:r>
          </w:p>
        </w:tc>
        <w:tc>
          <w:tcPr>
            <w:tcW w:w="177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合计（万元）</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278" w:hRule="atLeast"/>
        </w:trPr>
        <w:tc>
          <w:tcPr>
            <w:tcW w:w="3116" w:type="dxa"/>
            <w:noWrap w:val="0"/>
            <w:vAlign w:val="center"/>
          </w:tcPr>
          <w:p>
            <w:pPr>
              <w:pageBreakBefore w:val="0"/>
              <w:kinsoku/>
              <w:wordWrap/>
              <w:overflowPunct/>
              <w:topLinePunct w:val="0"/>
              <w:autoSpaceDE/>
              <w:bidi w:val="0"/>
              <w:adjustRightInd/>
              <w:snapToGrid/>
              <w:spacing w:line="240" w:lineRule="auto"/>
              <w:ind w:left="0" w:leftChars="0" w:right="0" w:rightChars="0"/>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工资福利支出</w:t>
            </w:r>
          </w:p>
        </w:tc>
        <w:tc>
          <w:tcPr>
            <w:tcW w:w="203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val="en-US" w:eastAsia="zh-CN"/>
              </w:rPr>
              <w:t>303.4549</w:t>
            </w:r>
          </w:p>
        </w:tc>
        <w:tc>
          <w:tcPr>
            <w:tcW w:w="19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w:t>
            </w:r>
          </w:p>
        </w:tc>
        <w:tc>
          <w:tcPr>
            <w:tcW w:w="177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303.4549</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270" w:hRule="atLeast"/>
        </w:trPr>
        <w:tc>
          <w:tcPr>
            <w:tcW w:w="3116" w:type="dxa"/>
            <w:noWrap w:val="0"/>
            <w:vAlign w:val="center"/>
          </w:tcPr>
          <w:p>
            <w:pPr>
              <w:pageBreakBefore w:val="0"/>
              <w:kinsoku/>
              <w:wordWrap/>
              <w:overflowPunct/>
              <w:topLinePunct w:val="0"/>
              <w:autoSpaceDE/>
              <w:bidi w:val="0"/>
              <w:adjustRightInd/>
              <w:snapToGrid/>
              <w:spacing w:line="240" w:lineRule="auto"/>
              <w:ind w:left="0" w:leftChars="0" w:right="0" w:rightChars="0"/>
              <w:jc w:val="left"/>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商品和服务支出</w:t>
            </w:r>
          </w:p>
        </w:tc>
        <w:tc>
          <w:tcPr>
            <w:tcW w:w="203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186.1535</w:t>
            </w:r>
          </w:p>
        </w:tc>
        <w:tc>
          <w:tcPr>
            <w:tcW w:w="19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w:t>
            </w:r>
          </w:p>
        </w:tc>
        <w:tc>
          <w:tcPr>
            <w:tcW w:w="177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186.1535</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270" w:hRule="atLeast"/>
        </w:trPr>
        <w:tc>
          <w:tcPr>
            <w:tcW w:w="3116" w:type="dxa"/>
            <w:noWrap w:val="0"/>
            <w:vAlign w:val="center"/>
          </w:tcPr>
          <w:p>
            <w:pPr>
              <w:pageBreakBefore w:val="0"/>
              <w:kinsoku/>
              <w:wordWrap/>
              <w:overflowPunct/>
              <w:topLinePunct w:val="0"/>
              <w:autoSpaceDE/>
              <w:bidi w:val="0"/>
              <w:adjustRightInd/>
              <w:snapToGrid/>
              <w:spacing w:line="240" w:lineRule="auto"/>
              <w:ind w:left="0" w:leftChars="0" w:right="0" w:rightChars="0"/>
              <w:jc w:val="left"/>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lang w:eastAsia="zh-CN"/>
              </w:rPr>
              <w:t>对个人和家庭的补助</w:t>
            </w:r>
          </w:p>
        </w:tc>
        <w:tc>
          <w:tcPr>
            <w:tcW w:w="203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137.7906</w:t>
            </w:r>
          </w:p>
        </w:tc>
        <w:tc>
          <w:tcPr>
            <w:tcW w:w="19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c>
          <w:tcPr>
            <w:tcW w:w="177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137.7906</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293" w:hRule="atLeast"/>
        </w:trPr>
        <w:tc>
          <w:tcPr>
            <w:tcW w:w="3116"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lang w:eastAsia="zh-CN"/>
              </w:rPr>
            </w:pPr>
            <w:r>
              <w:rPr>
                <w:rFonts w:hint="eastAsia" w:ascii="仿宋_GB2312" w:hAnsi="仿宋_GB2312" w:eastAsia="仿宋_GB2312" w:cs="仿宋_GB2312"/>
                <w:sz w:val="21"/>
                <w:szCs w:val="21"/>
              </w:rPr>
              <w:t>合   计</w:t>
            </w:r>
          </w:p>
        </w:tc>
        <w:tc>
          <w:tcPr>
            <w:tcW w:w="203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i w:val="0"/>
                <w:color w:val="000000"/>
                <w:sz w:val="21"/>
                <w:szCs w:val="21"/>
                <w:u w:val="none"/>
                <w:lang w:val="en-US" w:eastAsia="zh-CN"/>
              </w:rPr>
              <w:t>627.399</w:t>
            </w:r>
          </w:p>
        </w:tc>
        <w:tc>
          <w:tcPr>
            <w:tcW w:w="19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c>
          <w:tcPr>
            <w:tcW w:w="177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eastAsia="zh-CN"/>
              </w:rPr>
            </w:pPr>
            <w:r>
              <w:rPr>
                <w:rFonts w:hint="eastAsia" w:ascii="仿宋_GB2312" w:hAnsi="仿宋_GB2312" w:eastAsia="仿宋_GB2312" w:cs="仿宋_GB2312"/>
                <w:i w:val="0"/>
                <w:color w:val="000000"/>
                <w:sz w:val="21"/>
                <w:szCs w:val="21"/>
                <w:u w:val="none"/>
                <w:lang w:val="en-US" w:eastAsia="zh-CN"/>
              </w:rPr>
              <w:t>627.399</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从年初预算批复情况来看：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333333"/>
          <w:sz w:val="32"/>
          <w:szCs w:val="32"/>
          <w:shd w:val="clear" w:color="auto" w:fill="FFFFFF"/>
          <w:lang w:eastAsia="zh-CN"/>
        </w:rPr>
      </w:pPr>
      <w:r>
        <w:rPr>
          <w:rFonts w:hint="eastAsia" w:ascii="仿宋_GB2312" w:hAnsi="仿宋_GB2312" w:eastAsia="仿宋_GB2312" w:cs="仿宋_GB2312"/>
          <w:color w:val="333333"/>
          <w:sz w:val="32"/>
          <w:szCs w:val="32"/>
          <w:shd w:val="clear" w:color="auto" w:fill="FFFFFF"/>
        </w:rPr>
        <w:t>本年财政预算拨入资金总额</w:t>
      </w:r>
      <w:r>
        <w:rPr>
          <w:rFonts w:hint="eastAsia" w:ascii="仿宋_GB2312" w:hAnsi="仿宋_GB2312" w:eastAsia="仿宋_GB2312" w:cs="仿宋_GB2312"/>
          <w:color w:val="333333"/>
          <w:sz w:val="32"/>
          <w:szCs w:val="32"/>
          <w:shd w:val="clear" w:color="auto" w:fill="FFFFFF"/>
          <w:lang w:val="en-US" w:eastAsia="zh-CN"/>
        </w:rPr>
        <w:t>627.399</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eastAsia="zh-CN"/>
        </w:rPr>
        <w:t>全为基本支出，项目支出由县财政局经建股管理和核算，其预算和决算均不在东安</w:t>
      </w:r>
      <w:r>
        <w:rPr>
          <w:rFonts w:hint="eastAsia" w:ascii="仿宋_GB2312" w:hAnsi="仿宋_GB2312" w:eastAsia="仿宋_GB2312" w:cs="仿宋_GB2312"/>
          <w:color w:val="333333"/>
          <w:sz w:val="32"/>
          <w:szCs w:val="32"/>
          <w:shd w:val="clear" w:color="auto" w:fill="FFFFFF"/>
        </w:rPr>
        <w:t>县</w:t>
      </w:r>
      <w:r>
        <w:rPr>
          <w:rFonts w:hint="eastAsia" w:ascii="仿宋_GB2312" w:hAnsi="仿宋_GB2312" w:eastAsia="仿宋_GB2312" w:cs="仿宋_GB2312"/>
          <w:color w:val="333333"/>
          <w:sz w:val="32"/>
          <w:szCs w:val="32"/>
          <w:shd w:val="clear" w:color="auto" w:fill="FFFFFF"/>
          <w:lang w:eastAsia="zh-CN"/>
        </w:rPr>
        <w:t>环境保护局。</w:t>
      </w:r>
    </w:p>
    <w:bookmarkEnd w:id="19"/>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333333"/>
          <w:sz w:val="32"/>
          <w:szCs w:val="32"/>
          <w:shd w:val="clear" w:color="auto" w:fill="FFFFFF"/>
          <w:lang w:val="en-US" w:eastAsia="zh-CN"/>
        </w:rPr>
      </w:pPr>
      <w:bookmarkStart w:id="20" w:name="_Toc413785904"/>
      <w:bookmarkStart w:id="21" w:name="_Toc413785905"/>
      <w:r>
        <w:rPr>
          <w:rFonts w:hint="eastAsia" w:ascii="仿宋_GB2312" w:hAnsi="仿宋_GB2312" w:eastAsia="仿宋_GB2312" w:cs="仿宋_GB2312"/>
          <w:color w:val="333333"/>
          <w:sz w:val="32"/>
          <w:szCs w:val="32"/>
          <w:shd w:val="clear" w:color="auto" w:fill="FFFFFF"/>
          <w:lang w:eastAsia="zh-CN"/>
        </w:rPr>
        <w:t>以上数据取自于东安</w:t>
      </w:r>
      <w:r>
        <w:rPr>
          <w:rFonts w:hint="eastAsia" w:ascii="仿宋_GB2312" w:hAnsi="仿宋_GB2312" w:eastAsia="仿宋_GB2312" w:cs="仿宋_GB2312"/>
          <w:color w:val="333333"/>
          <w:sz w:val="32"/>
          <w:szCs w:val="32"/>
          <w:shd w:val="clear" w:color="auto" w:fill="FFFFFF"/>
        </w:rPr>
        <w:t>县</w:t>
      </w:r>
      <w:r>
        <w:rPr>
          <w:rFonts w:hint="eastAsia" w:ascii="仿宋_GB2312" w:hAnsi="仿宋_GB2312" w:eastAsia="仿宋_GB2312" w:cs="仿宋_GB2312"/>
          <w:color w:val="333333"/>
          <w:sz w:val="32"/>
          <w:szCs w:val="32"/>
          <w:shd w:val="clear" w:color="auto" w:fill="FFFFFF"/>
          <w:lang w:eastAsia="zh-CN"/>
        </w:rPr>
        <w:t>环境保护局</w:t>
      </w:r>
      <w:r>
        <w:rPr>
          <w:rFonts w:hint="eastAsia" w:ascii="仿宋_GB2312" w:hAnsi="仿宋_GB2312" w:eastAsia="仿宋_GB2312" w:cs="仿宋_GB2312"/>
          <w:color w:val="333333"/>
          <w:sz w:val="32"/>
          <w:szCs w:val="32"/>
          <w:shd w:val="clear" w:color="auto" w:fill="FFFFFF"/>
        </w:rPr>
        <w:t>2017年</w:t>
      </w:r>
      <w:r>
        <w:rPr>
          <w:rFonts w:hint="eastAsia" w:ascii="仿宋_GB2312" w:hAnsi="仿宋_GB2312" w:eastAsia="仿宋_GB2312" w:cs="仿宋_GB2312"/>
          <w:color w:val="333333"/>
          <w:sz w:val="32"/>
          <w:szCs w:val="32"/>
          <w:shd w:val="clear" w:color="auto" w:fill="FFFFFF"/>
          <w:lang w:eastAsia="zh-CN"/>
        </w:rPr>
        <w:t>度部门</w:t>
      </w:r>
      <w:r>
        <w:rPr>
          <w:rFonts w:hint="eastAsia" w:ascii="仿宋_GB2312" w:hAnsi="仿宋_GB2312" w:eastAsia="仿宋_GB2312" w:cs="仿宋_GB2312"/>
          <w:color w:val="333333"/>
          <w:sz w:val="32"/>
          <w:szCs w:val="32"/>
          <w:shd w:val="clear" w:color="auto" w:fill="FFFFFF"/>
        </w:rPr>
        <w:t>预算</w:t>
      </w:r>
      <w:r>
        <w:rPr>
          <w:rFonts w:hint="eastAsia" w:ascii="仿宋_GB2312" w:hAnsi="仿宋_GB2312" w:eastAsia="仿宋_GB2312" w:cs="仿宋_GB2312"/>
          <w:color w:val="333333"/>
          <w:sz w:val="32"/>
          <w:szCs w:val="32"/>
          <w:shd w:val="clear" w:color="auto" w:fill="FFFFFF"/>
          <w:lang w:eastAsia="zh-CN"/>
        </w:rPr>
        <w:t>报表，其预算收入和支出均指本年预算的数据，不包括上年结转资金</w:t>
      </w:r>
      <w:r>
        <w:rPr>
          <w:rFonts w:hint="eastAsia" w:ascii="仿宋_GB2312" w:hAnsi="仿宋_GB2312" w:eastAsia="仿宋_GB2312" w:cs="仿宋_GB2312"/>
          <w:color w:val="333333"/>
          <w:sz w:val="32"/>
          <w:szCs w:val="32"/>
          <w:highlight w:val="none"/>
          <w:shd w:val="clear" w:color="auto" w:fill="FFFFFF"/>
          <w:lang w:val="en-US" w:eastAsia="zh-CN"/>
        </w:rPr>
        <w:t>191.4698</w:t>
      </w:r>
      <w:r>
        <w:rPr>
          <w:rFonts w:hint="eastAsia" w:ascii="仿宋_GB2312" w:hAnsi="仿宋_GB2312" w:eastAsia="仿宋_GB2312" w:cs="仿宋_GB2312"/>
          <w:color w:val="333333"/>
          <w:sz w:val="32"/>
          <w:szCs w:val="32"/>
          <w:shd w:val="clear" w:color="auto" w:fill="FFFFFF"/>
          <w:lang w:val="en-US" w:eastAsia="zh-CN"/>
        </w:rPr>
        <w:t>万元（全为基本支出结转资金）。</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楷体_GB2312" w:hAnsi="楷体_GB2312" w:eastAsia="楷体_GB2312" w:cs="楷体_GB2312"/>
          <w:b/>
          <w:bCs/>
          <w:color w:val="333333"/>
          <w:sz w:val="32"/>
          <w:szCs w:val="32"/>
          <w:shd w:val="clear" w:color="auto" w:fill="FFFFFF"/>
        </w:rPr>
      </w:pPr>
      <w:r>
        <w:rPr>
          <w:rFonts w:hint="eastAsia" w:ascii="楷体_GB2312" w:hAnsi="楷体_GB2312" w:eastAsia="楷体_GB2312" w:cs="楷体_GB2312"/>
          <w:b/>
          <w:bCs/>
          <w:color w:val="333333"/>
          <w:sz w:val="32"/>
          <w:szCs w:val="32"/>
          <w:shd w:val="clear" w:color="auto" w:fill="FFFFFF"/>
        </w:rPr>
        <w:t>（二）财政预算收支决算结余情况</w:t>
      </w:r>
      <w:bookmarkEnd w:id="20"/>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仿宋_GB2312" w:hAnsi="仿宋_GB2312" w:eastAsia="仿宋_GB2312" w:cs="仿宋_GB2312"/>
          <w:color w:val="333333"/>
          <w:sz w:val="32"/>
          <w:szCs w:val="32"/>
          <w:highlight w:val="none"/>
          <w:shd w:val="clear" w:color="auto" w:fill="FFFFFF"/>
        </w:rPr>
      </w:pPr>
      <w:r>
        <w:rPr>
          <w:rFonts w:hint="eastAsia" w:ascii="仿宋_GB2312" w:hAnsi="仿宋_GB2312" w:eastAsia="仿宋_GB2312" w:cs="仿宋_GB2312"/>
          <w:b/>
          <w:bCs/>
          <w:color w:val="333333"/>
          <w:sz w:val="32"/>
          <w:szCs w:val="32"/>
          <w:highlight w:val="none"/>
          <w:shd w:val="clear" w:color="auto" w:fill="FFFFFF"/>
        </w:rPr>
        <w:t>1</w:t>
      </w:r>
      <w:r>
        <w:rPr>
          <w:rFonts w:hint="eastAsia" w:ascii="仿宋_GB2312" w:hAnsi="仿宋_GB2312" w:eastAsia="仿宋_GB2312" w:cs="仿宋_GB2312"/>
          <w:b/>
          <w:bCs/>
          <w:color w:val="333333"/>
          <w:sz w:val="32"/>
          <w:szCs w:val="32"/>
          <w:highlight w:val="none"/>
          <w:shd w:val="clear" w:color="auto" w:fill="FFFFFF"/>
          <w:lang w:eastAsia="zh-CN"/>
        </w:rPr>
        <w:t>、</w:t>
      </w:r>
      <w:r>
        <w:rPr>
          <w:rFonts w:hint="eastAsia" w:ascii="仿宋_GB2312" w:hAnsi="仿宋_GB2312" w:eastAsia="仿宋_GB2312" w:cs="仿宋_GB2312"/>
          <w:b/>
          <w:bCs/>
          <w:color w:val="333333"/>
          <w:sz w:val="32"/>
          <w:szCs w:val="32"/>
          <w:highlight w:val="none"/>
          <w:shd w:val="clear" w:color="auto" w:fill="FFFFFF"/>
        </w:rPr>
        <w:t xml:space="preserve">年度预算收入决算情况     </w:t>
      </w:r>
      <w:r>
        <w:rPr>
          <w:rFonts w:hint="eastAsia" w:ascii="仿宋_GB2312" w:hAnsi="仿宋_GB2312" w:eastAsia="仿宋_GB2312" w:cs="仿宋_GB2312"/>
          <w:color w:val="333333"/>
          <w:sz w:val="32"/>
          <w:szCs w:val="32"/>
          <w:highlight w:val="none"/>
          <w:shd w:val="clear" w:color="auto" w:fill="FFFFFF"/>
        </w:rPr>
        <w:t xml:space="preserve">                                                                                            </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333333"/>
          <w:sz w:val="32"/>
          <w:szCs w:val="32"/>
          <w:highlight w:val="none"/>
          <w:shd w:val="clear" w:color="auto" w:fill="FFFFFF"/>
          <w:lang w:val="en-US" w:eastAsia="zh-CN"/>
        </w:rPr>
      </w:pPr>
      <w:r>
        <w:rPr>
          <w:rFonts w:hint="eastAsia" w:ascii="仿宋_GB2312" w:hAnsi="仿宋_GB2312" w:eastAsia="仿宋_GB2312" w:cs="仿宋_GB2312"/>
          <w:color w:val="333333"/>
          <w:sz w:val="32"/>
          <w:szCs w:val="32"/>
          <w:highlight w:val="none"/>
          <w:shd w:val="clear" w:color="auto" w:fill="FFFFFF"/>
          <w:lang w:eastAsia="zh-CN"/>
        </w:rPr>
        <w:t>本年县本级财</w:t>
      </w:r>
      <w:r>
        <w:rPr>
          <w:rFonts w:hint="eastAsia" w:ascii="仿宋_GB2312" w:hAnsi="仿宋_GB2312" w:eastAsia="仿宋_GB2312" w:cs="仿宋_GB2312"/>
          <w:sz w:val="32"/>
          <w:szCs w:val="32"/>
        </w:rPr>
        <w:t>政拨款</w:t>
      </w:r>
      <w:r>
        <w:rPr>
          <w:rFonts w:hint="eastAsia" w:ascii="仿宋_GB2312" w:hAnsi="仿宋_GB2312" w:eastAsia="仿宋_GB2312" w:cs="仿宋_GB2312"/>
          <w:color w:val="333333"/>
          <w:sz w:val="32"/>
          <w:szCs w:val="32"/>
          <w:highlight w:val="none"/>
          <w:shd w:val="clear" w:color="auto" w:fill="FFFFFF"/>
          <w:lang w:eastAsia="zh-CN"/>
        </w:rPr>
        <w:t>预算收入</w:t>
      </w:r>
      <w:r>
        <w:rPr>
          <w:rFonts w:hint="eastAsia" w:ascii="仿宋_GB2312" w:hAnsi="仿宋_GB2312" w:eastAsia="仿宋_GB2312" w:cs="仿宋_GB2312"/>
          <w:color w:val="333333"/>
          <w:sz w:val="32"/>
          <w:szCs w:val="32"/>
          <w:shd w:val="clear" w:color="auto" w:fill="FFFFFF"/>
          <w:lang w:val="en-US" w:eastAsia="zh-CN"/>
        </w:rPr>
        <w:t>627.399</w:t>
      </w:r>
      <w:r>
        <w:rPr>
          <w:rFonts w:hint="eastAsia" w:ascii="仿宋_GB2312" w:hAnsi="仿宋_GB2312" w:eastAsia="仿宋_GB2312" w:cs="仿宋_GB2312"/>
          <w:color w:val="333333"/>
          <w:sz w:val="32"/>
          <w:szCs w:val="32"/>
          <w:highlight w:val="none"/>
          <w:shd w:val="clear" w:color="auto" w:fill="FFFFFF"/>
          <w:lang w:val="en-US" w:eastAsia="zh-CN"/>
        </w:rPr>
        <w:t>万元，上年结转资金191.4698万元，年初可用指标818.8688万元。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outlineLvl w:val="9"/>
        <w:rPr>
          <w:rFonts w:hint="eastAsia" w:ascii="仿宋_GB2312" w:hAnsi="仿宋_GB2312" w:eastAsia="仿宋_GB2312" w:cs="仿宋_GB2312"/>
          <w:color w:val="333333"/>
          <w:sz w:val="32"/>
          <w:szCs w:val="32"/>
          <w:highlight w:val="none"/>
          <w:shd w:val="clear" w:color="auto" w:fill="FFFFFF"/>
        </w:rPr>
      </w:pPr>
      <w:r>
        <w:rPr>
          <w:rFonts w:hint="eastAsia" w:ascii="仿宋_GB2312" w:hAnsi="仿宋_GB2312" w:eastAsia="仿宋_GB2312" w:cs="仿宋_GB2312"/>
          <w:color w:val="333333"/>
          <w:sz w:val="32"/>
          <w:szCs w:val="32"/>
          <w:highlight w:val="none"/>
          <w:shd w:val="clear" w:color="auto" w:fill="FFFFFF"/>
          <w:lang w:val="en-US" w:eastAsia="zh-CN"/>
        </w:rPr>
        <w:t>本年实际财政拨款收入</w:t>
      </w:r>
      <w:r>
        <w:rPr>
          <w:rFonts w:hint="eastAsia" w:ascii="仿宋_GB2312" w:hAnsi="仿宋_GB2312" w:eastAsia="仿宋_GB2312" w:cs="仿宋_GB2312"/>
          <w:sz w:val="32"/>
          <w:szCs w:val="32"/>
        </w:rPr>
        <w:t>1057</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879</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color w:val="333333"/>
          <w:sz w:val="32"/>
          <w:szCs w:val="32"/>
          <w:highlight w:val="none"/>
          <w:shd w:val="clear" w:color="auto" w:fill="FFFFFF"/>
          <w:lang w:val="en-US" w:eastAsia="zh-CN"/>
        </w:rPr>
        <w:t>万元，包括基本支出补助收入830.71万元，项目支出补助收入227.1692万元</w:t>
      </w:r>
      <w:r>
        <w:rPr>
          <w:rFonts w:hint="eastAsia" w:ascii="仿宋_GB2312" w:hAnsi="仿宋_GB2312" w:eastAsia="仿宋_GB2312" w:cs="仿宋_GB2312"/>
          <w:color w:val="333333"/>
          <w:sz w:val="32"/>
          <w:szCs w:val="32"/>
          <w:highlight w:val="none"/>
          <w:shd w:val="clear" w:color="auto" w:fill="FFFFFF"/>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2</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color w:val="333333"/>
          <w:sz w:val="32"/>
          <w:szCs w:val="32"/>
          <w:shd w:val="clear" w:color="auto" w:fill="FFFFFF"/>
        </w:rPr>
        <w:t>年度预算支出、实际支出及结余情况</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right"/>
        <w:textAlignment w:val="auto"/>
        <w:outlineLvl w:val="9"/>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 xml:space="preserve">                                    单位：万元</w:t>
      </w:r>
    </w:p>
    <w:tbl>
      <w:tblPr>
        <w:tblStyle w:val="29"/>
        <w:tblW w:w="9120" w:type="dxa"/>
        <w:jc w:val="center"/>
        <w:tblInd w:w="-318" w:type="dxa"/>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2559"/>
        <w:gridCol w:w="1963"/>
        <w:gridCol w:w="2102"/>
        <w:gridCol w:w="2496"/>
      </w:tblGrid>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470" w:hRule="atLeast"/>
          <w:jc w:val="center"/>
        </w:trPr>
        <w:tc>
          <w:tcPr>
            <w:tcW w:w="2559"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决算项目</w:t>
            </w:r>
          </w:p>
        </w:tc>
        <w:tc>
          <w:tcPr>
            <w:tcW w:w="196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预算金额</w:t>
            </w:r>
          </w:p>
        </w:tc>
        <w:tc>
          <w:tcPr>
            <w:tcW w:w="2102"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 xml:space="preserve">实际支出金额                                                                                                                                                                                                                                                                                                                                                                                                                                                                                                                                                                                                                                                                                                                                                                                                                                                                                                                                                                                                                                                                                                                                                                                                                                                                                                                                                                                                                                                                                                                                                                                                                                                                                                                                                                                                                                                                                                                                                                                                                                                                                                                                                                                                                                                                                                                                                                                                                                                                                                                                                                                                                                                                                                                                                                                                                                                                                                                                                                                                        </w:t>
            </w:r>
          </w:p>
        </w:tc>
        <w:tc>
          <w:tcPr>
            <w:tcW w:w="2496"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超支</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rPr>
              <w:t>或结余</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lang w:eastAsia="zh-CN"/>
              </w:rPr>
              <w:t>）</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470" w:hRule="atLeast"/>
          <w:jc w:val="center"/>
        </w:trPr>
        <w:tc>
          <w:tcPr>
            <w:tcW w:w="2559"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基本支出</w:t>
            </w:r>
          </w:p>
        </w:tc>
        <w:tc>
          <w:tcPr>
            <w:tcW w:w="196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818.8688</w:t>
            </w:r>
          </w:p>
        </w:tc>
        <w:tc>
          <w:tcPr>
            <w:tcW w:w="210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827.5654</w:t>
            </w:r>
          </w:p>
        </w:tc>
        <w:tc>
          <w:tcPr>
            <w:tcW w:w="24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-8.6966</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470" w:hRule="atLeast"/>
          <w:jc w:val="center"/>
        </w:trPr>
        <w:tc>
          <w:tcPr>
            <w:tcW w:w="2559"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项目支出</w:t>
            </w:r>
          </w:p>
        </w:tc>
        <w:tc>
          <w:tcPr>
            <w:tcW w:w="196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c>
          <w:tcPr>
            <w:tcW w:w="210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153.504</w:t>
            </w:r>
          </w:p>
        </w:tc>
        <w:tc>
          <w:tcPr>
            <w:tcW w:w="24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-153.504</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470" w:hRule="atLeast"/>
          <w:jc w:val="center"/>
        </w:trPr>
        <w:tc>
          <w:tcPr>
            <w:tcW w:w="2559"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合计</w:t>
            </w:r>
          </w:p>
        </w:tc>
        <w:tc>
          <w:tcPr>
            <w:tcW w:w="1963"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818.8688</w:t>
            </w:r>
          </w:p>
        </w:tc>
        <w:tc>
          <w:tcPr>
            <w:tcW w:w="210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rPr>
            </w:pPr>
            <w:r>
              <w:rPr>
                <w:rFonts w:hint="eastAsia" w:ascii="仿宋_GB2312" w:hAnsi="仿宋_GB2312" w:eastAsia="仿宋_GB2312" w:cs="仿宋_GB2312"/>
                <w:sz w:val="21"/>
                <w:szCs w:val="21"/>
                <w:lang w:val="en-US" w:eastAsia="zh-CN"/>
              </w:rPr>
              <w:t>981.0694</w:t>
            </w:r>
          </w:p>
        </w:tc>
        <w:tc>
          <w:tcPr>
            <w:tcW w:w="2496"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-162.2006</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20" w:firstLineChars="200"/>
        <w:textAlignment w:val="auto"/>
        <w:outlineLvl w:val="9"/>
        <w:rPr>
          <w:rFonts w:hint="eastAsia" w:ascii="仿宋_GB2312" w:hAnsi="仿宋_GB2312" w:eastAsia="仿宋_GB2312" w:cs="仿宋_GB2312"/>
          <w:color w:val="333333"/>
          <w:spacing w:val="-5"/>
          <w:sz w:val="32"/>
          <w:szCs w:val="32"/>
          <w:highlight w:val="none"/>
          <w:shd w:val="clear" w:color="auto" w:fill="FFFFFF"/>
        </w:rPr>
      </w:pPr>
      <w:r>
        <w:rPr>
          <w:rFonts w:hint="eastAsia" w:ascii="仿宋_GB2312" w:hAnsi="仿宋_GB2312" w:eastAsia="仿宋_GB2312" w:cs="仿宋_GB2312"/>
          <w:color w:val="333333"/>
          <w:spacing w:val="-5"/>
          <w:sz w:val="32"/>
          <w:szCs w:val="32"/>
          <w:highlight w:val="none"/>
          <w:shd w:val="clear" w:color="auto" w:fill="FFFFFF"/>
          <w:lang w:eastAsia="zh-CN"/>
        </w:rPr>
        <w:t>县本级本年度预算支出</w:t>
      </w:r>
      <w:r>
        <w:rPr>
          <w:rFonts w:hint="eastAsia" w:ascii="仿宋_GB2312" w:hAnsi="仿宋_GB2312" w:eastAsia="仿宋_GB2312" w:cs="仿宋_GB2312"/>
          <w:color w:val="333333"/>
          <w:spacing w:val="-5"/>
          <w:sz w:val="32"/>
          <w:szCs w:val="32"/>
          <w:highlight w:val="none"/>
          <w:shd w:val="clear" w:color="auto" w:fill="FFFFFF"/>
          <w:lang w:val="en-US" w:eastAsia="zh-CN"/>
        </w:rPr>
        <w:t>627.399</w:t>
      </w:r>
      <w:r>
        <w:rPr>
          <w:rFonts w:hint="eastAsia" w:ascii="仿宋_GB2312" w:hAnsi="仿宋_GB2312" w:eastAsia="仿宋_GB2312" w:cs="仿宋_GB2312"/>
          <w:color w:val="333333"/>
          <w:spacing w:val="-5"/>
          <w:sz w:val="32"/>
          <w:szCs w:val="32"/>
          <w:highlight w:val="none"/>
          <w:shd w:val="clear" w:color="auto" w:fill="FFFFFF"/>
        </w:rPr>
        <w:t>万元，</w:t>
      </w:r>
      <w:r>
        <w:rPr>
          <w:rFonts w:hint="eastAsia" w:ascii="仿宋_GB2312" w:hAnsi="仿宋_GB2312" w:eastAsia="仿宋_GB2312" w:cs="仿宋_GB2312"/>
          <w:color w:val="333333"/>
          <w:spacing w:val="-5"/>
          <w:sz w:val="32"/>
          <w:szCs w:val="32"/>
          <w:highlight w:val="none"/>
          <w:shd w:val="clear" w:color="auto" w:fill="FFFFFF"/>
          <w:lang w:eastAsia="zh-CN"/>
        </w:rPr>
        <w:t>上年结转资金</w:t>
      </w:r>
      <w:r>
        <w:rPr>
          <w:rFonts w:hint="eastAsia" w:ascii="仿宋_GB2312" w:hAnsi="仿宋_GB2312" w:eastAsia="仿宋_GB2312" w:cs="仿宋_GB2312"/>
          <w:color w:val="333333"/>
          <w:sz w:val="32"/>
          <w:szCs w:val="32"/>
          <w:highlight w:val="none"/>
          <w:shd w:val="clear" w:color="auto" w:fill="FFFFFF"/>
          <w:lang w:val="en-US" w:eastAsia="zh-CN"/>
        </w:rPr>
        <w:t>191.4698万元，</w:t>
      </w:r>
      <w:r>
        <w:rPr>
          <w:rFonts w:hint="eastAsia" w:ascii="仿宋_GB2312" w:hAnsi="仿宋_GB2312" w:eastAsia="仿宋_GB2312" w:cs="仿宋_GB2312"/>
          <w:color w:val="333333"/>
          <w:spacing w:val="-5"/>
          <w:sz w:val="32"/>
          <w:szCs w:val="32"/>
          <w:highlight w:val="none"/>
          <w:shd w:val="clear" w:color="auto" w:fill="FFFFFF"/>
        </w:rPr>
        <w:t>本年</w:t>
      </w:r>
      <w:r>
        <w:rPr>
          <w:rFonts w:hint="eastAsia" w:ascii="仿宋_GB2312" w:hAnsi="仿宋_GB2312" w:eastAsia="仿宋_GB2312" w:cs="仿宋_GB2312"/>
          <w:color w:val="333333"/>
          <w:spacing w:val="-5"/>
          <w:sz w:val="32"/>
          <w:szCs w:val="32"/>
          <w:highlight w:val="none"/>
          <w:shd w:val="clear" w:color="auto" w:fill="FFFFFF"/>
          <w:lang w:eastAsia="zh-CN"/>
        </w:rPr>
        <w:t>度可用支出金额818.8688万元，</w:t>
      </w:r>
      <w:r>
        <w:rPr>
          <w:rFonts w:hint="eastAsia" w:ascii="仿宋_GB2312" w:hAnsi="仿宋_GB2312" w:eastAsia="仿宋_GB2312" w:cs="仿宋_GB2312"/>
          <w:color w:val="333333"/>
          <w:spacing w:val="-5"/>
          <w:sz w:val="32"/>
          <w:szCs w:val="32"/>
          <w:highlight w:val="none"/>
          <w:shd w:val="clear" w:color="auto" w:fill="FFFFFF"/>
        </w:rPr>
        <w:t>实际支出金额</w:t>
      </w:r>
      <w:r>
        <w:rPr>
          <w:rFonts w:hint="eastAsia" w:ascii="仿宋_GB2312" w:hAnsi="仿宋_GB2312" w:eastAsia="仿宋_GB2312" w:cs="仿宋_GB2312"/>
          <w:color w:val="333333"/>
          <w:spacing w:val="-5"/>
          <w:sz w:val="32"/>
          <w:szCs w:val="32"/>
          <w:highlight w:val="none"/>
          <w:shd w:val="clear" w:color="auto" w:fill="FFFFFF"/>
          <w:lang w:val="en-US" w:eastAsia="zh-CN"/>
        </w:rPr>
        <w:t>981.0694</w:t>
      </w:r>
      <w:r>
        <w:rPr>
          <w:rFonts w:hint="eastAsia" w:ascii="仿宋_GB2312" w:hAnsi="仿宋_GB2312" w:eastAsia="仿宋_GB2312" w:cs="仿宋_GB2312"/>
          <w:color w:val="333333"/>
          <w:spacing w:val="-5"/>
          <w:sz w:val="32"/>
          <w:szCs w:val="32"/>
          <w:highlight w:val="none"/>
          <w:shd w:val="clear" w:color="auto" w:fill="FFFFFF"/>
        </w:rPr>
        <w:t>万元，</w:t>
      </w:r>
      <w:r>
        <w:rPr>
          <w:rFonts w:hint="eastAsia" w:ascii="仿宋_GB2312" w:hAnsi="仿宋_GB2312" w:eastAsia="仿宋_GB2312" w:cs="仿宋_GB2312"/>
          <w:color w:val="333333"/>
          <w:spacing w:val="-5"/>
          <w:sz w:val="32"/>
          <w:szCs w:val="32"/>
          <w:highlight w:val="none"/>
          <w:shd w:val="clear" w:color="auto" w:fill="FFFFFF"/>
          <w:lang w:eastAsia="zh-CN"/>
        </w:rPr>
        <w:t>超支</w:t>
      </w:r>
      <w:r>
        <w:rPr>
          <w:rFonts w:hint="eastAsia" w:ascii="仿宋_GB2312" w:hAnsi="仿宋_GB2312" w:eastAsia="仿宋_GB2312" w:cs="仿宋_GB2312"/>
          <w:sz w:val="32"/>
          <w:szCs w:val="32"/>
          <w:highlight w:val="none"/>
          <w:lang w:val="en-US" w:eastAsia="zh-CN"/>
        </w:rPr>
        <w:t>162.2006</w:t>
      </w:r>
      <w:r>
        <w:rPr>
          <w:rFonts w:hint="eastAsia" w:ascii="仿宋_GB2312" w:hAnsi="仿宋_GB2312" w:eastAsia="仿宋_GB2312" w:cs="仿宋_GB2312"/>
          <w:color w:val="333333"/>
          <w:spacing w:val="-5"/>
          <w:sz w:val="32"/>
          <w:szCs w:val="32"/>
          <w:highlight w:val="none"/>
          <w:shd w:val="clear" w:color="auto" w:fill="FFFFFF"/>
        </w:rPr>
        <w:t>万元。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20" w:firstLineChars="200"/>
        <w:textAlignment w:val="auto"/>
        <w:outlineLvl w:val="9"/>
        <w:rPr>
          <w:rFonts w:hint="eastAsia" w:ascii="仿宋_GB2312" w:hAnsi="仿宋_GB2312" w:eastAsia="仿宋_GB2312" w:cs="仿宋_GB2312"/>
          <w:color w:val="333333"/>
          <w:spacing w:val="-5"/>
          <w:sz w:val="32"/>
          <w:szCs w:val="32"/>
          <w:highlight w:val="none"/>
          <w:shd w:val="clear" w:color="auto" w:fill="FFFFFF"/>
        </w:rPr>
      </w:pPr>
      <w:r>
        <w:rPr>
          <w:rFonts w:hint="eastAsia" w:ascii="仿宋_GB2312" w:hAnsi="仿宋_GB2312" w:eastAsia="仿宋_GB2312" w:cs="仿宋_GB2312"/>
          <w:color w:val="333333"/>
          <w:spacing w:val="-5"/>
          <w:sz w:val="32"/>
          <w:szCs w:val="32"/>
          <w:highlight w:val="none"/>
          <w:shd w:val="clear" w:color="auto" w:fill="FFFFFF"/>
        </w:rPr>
        <w:t>基本支出预算</w:t>
      </w:r>
      <w:r>
        <w:rPr>
          <w:rFonts w:hint="eastAsia" w:ascii="仿宋_GB2312" w:hAnsi="仿宋_GB2312" w:eastAsia="仿宋_GB2312" w:cs="仿宋_GB2312"/>
          <w:color w:val="333333"/>
          <w:spacing w:val="-5"/>
          <w:sz w:val="32"/>
          <w:szCs w:val="32"/>
          <w:highlight w:val="none"/>
          <w:shd w:val="clear" w:color="auto" w:fill="FFFFFF"/>
          <w:lang w:val="en-US" w:eastAsia="zh-CN"/>
        </w:rPr>
        <w:t>818.868</w:t>
      </w:r>
      <w:r>
        <w:rPr>
          <w:rFonts w:hint="eastAsia" w:ascii="仿宋_GB2312" w:hAnsi="仿宋_GB2312" w:eastAsia="仿宋_GB2312" w:cs="仿宋_GB2312"/>
          <w:color w:val="333333"/>
          <w:spacing w:val="-5"/>
          <w:sz w:val="32"/>
          <w:szCs w:val="32"/>
          <w:highlight w:val="none"/>
          <w:shd w:val="clear" w:color="auto" w:fill="FFFFFF"/>
        </w:rPr>
        <w:t>万元，实际支出金额</w:t>
      </w:r>
      <w:r>
        <w:rPr>
          <w:rFonts w:hint="eastAsia" w:ascii="仿宋_GB2312" w:hAnsi="仿宋_GB2312" w:eastAsia="仿宋_GB2312" w:cs="仿宋_GB2312"/>
          <w:color w:val="333333"/>
          <w:spacing w:val="-5"/>
          <w:sz w:val="32"/>
          <w:szCs w:val="32"/>
          <w:highlight w:val="none"/>
          <w:shd w:val="clear" w:color="auto" w:fill="FFFFFF"/>
          <w:lang w:val="en-US" w:eastAsia="zh-CN"/>
        </w:rPr>
        <w:t>827.5654</w:t>
      </w:r>
      <w:r>
        <w:rPr>
          <w:rFonts w:hint="eastAsia" w:ascii="仿宋_GB2312" w:hAnsi="仿宋_GB2312" w:eastAsia="仿宋_GB2312" w:cs="仿宋_GB2312"/>
          <w:color w:val="333333"/>
          <w:spacing w:val="-5"/>
          <w:sz w:val="32"/>
          <w:szCs w:val="32"/>
          <w:highlight w:val="none"/>
          <w:shd w:val="clear" w:color="auto" w:fill="FFFFFF"/>
        </w:rPr>
        <w:t>万元，</w:t>
      </w:r>
      <w:r>
        <w:rPr>
          <w:rFonts w:hint="eastAsia" w:ascii="仿宋_GB2312" w:hAnsi="仿宋_GB2312" w:eastAsia="仿宋_GB2312" w:cs="仿宋_GB2312"/>
          <w:color w:val="333333"/>
          <w:spacing w:val="-5"/>
          <w:sz w:val="32"/>
          <w:szCs w:val="32"/>
          <w:highlight w:val="none"/>
          <w:shd w:val="clear" w:color="auto" w:fill="FFFFFF"/>
          <w:lang w:val="en-US" w:eastAsia="zh-CN"/>
        </w:rPr>
        <w:t>超支8.6966</w:t>
      </w:r>
      <w:r>
        <w:rPr>
          <w:rFonts w:hint="eastAsia" w:ascii="仿宋_GB2312" w:hAnsi="仿宋_GB2312" w:eastAsia="仿宋_GB2312" w:cs="仿宋_GB2312"/>
          <w:color w:val="333333"/>
          <w:spacing w:val="-5"/>
          <w:sz w:val="32"/>
          <w:szCs w:val="32"/>
          <w:highlight w:val="none"/>
          <w:shd w:val="clear" w:color="auto" w:fill="FFFFFF"/>
        </w:rPr>
        <w:t>万元。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20" w:firstLineChars="200"/>
        <w:textAlignment w:val="auto"/>
        <w:outlineLvl w:val="9"/>
        <w:rPr>
          <w:rFonts w:hint="eastAsia" w:ascii="仿宋_GB2312" w:hAnsi="仿宋_GB2312" w:eastAsia="仿宋_GB2312" w:cs="仿宋_GB2312"/>
          <w:color w:val="333333"/>
          <w:spacing w:val="-5"/>
          <w:sz w:val="32"/>
          <w:szCs w:val="32"/>
          <w:highlight w:val="none"/>
          <w:shd w:val="clear" w:color="auto" w:fill="FFFFFF"/>
        </w:rPr>
      </w:pPr>
      <w:r>
        <w:rPr>
          <w:rFonts w:hint="eastAsia" w:ascii="仿宋_GB2312" w:hAnsi="仿宋_GB2312" w:eastAsia="仿宋_GB2312" w:cs="仿宋_GB2312"/>
          <w:color w:val="333333"/>
          <w:spacing w:val="-5"/>
          <w:sz w:val="32"/>
          <w:szCs w:val="32"/>
          <w:highlight w:val="none"/>
          <w:shd w:val="clear" w:color="auto" w:fill="FFFFFF"/>
        </w:rPr>
        <w:t>项目支出预算</w:t>
      </w:r>
      <w:r>
        <w:rPr>
          <w:rFonts w:hint="eastAsia" w:ascii="仿宋_GB2312" w:hAnsi="仿宋_GB2312" w:eastAsia="仿宋_GB2312" w:cs="仿宋_GB2312"/>
          <w:color w:val="333333"/>
          <w:spacing w:val="-5"/>
          <w:sz w:val="32"/>
          <w:szCs w:val="32"/>
          <w:highlight w:val="none"/>
          <w:shd w:val="clear" w:color="auto" w:fill="FFFFFF"/>
          <w:lang w:val="en-US" w:eastAsia="zh-CN"/>
        </w:rPr>
        <w:t>0</w:t>
      </w:r>
      <w:r>
        <w:rPr>
          <w:rFonts w:hint="eastAsia" w:ascii="仿宋_GB2312" w:hAnsi="仿宋_GB2312" w:eastAsia="仿宋_GB2312" w:cs="仿宋_GB2312"/>
          <w:color w:val="333333"/>
          <w:spacing w:val="-5"/>
          <w:sz w:val="32"/>
          <w:szCs w:val="32"/>
          <w:highlight w:val="none"/>
          <w:shd w:val="clear" w:color="auto" w:fill="FFFFFF"/>
        </w:rPr>
        <w:t>万元，实际支出金额</w:t>
      </w:r>
      <w:r>
        <w:rPr>
          <w:rFonts w:hint="eastAsia" w:ascii="仿宋_GB2312" w:hAnsi="仿宋_GB2312" w:eastAsia="仿宋_GB2312" w:cs="仿宋_GB2312"/>
          <w:color w:val="333333"/>
          <w:spacing w:val="-5"/>
          <w:sz w:val="32"/>
          <w:szCs w:val="32"/>
          <w:highlight w:val="none"/>
          <w:shd w:val="clear" w:color="auto" w:fill="FFFFFF"/>
          <w:lang w:val="en-US" w:eastAsia="zh-CN"/>
        </w:rPr>
        <w:t>153.504</w:t>
      </w:r>
      <w:r>
        <w:rPr>
          <w:rFonts w:hint="eastAsia" w:ascii="仿宋_GB2312" w:hAnsi="仿宋_GB2312" w:eastAsia="仿宋_GB2312" w:cs="仿宋_GB2312"/>
          <w:color w:val="333333"/>
          <w:spacing w:val="-5"/>
          <w:sz w:val="32"/>
          <w:szCs w:val="32"/>
          <w:highlight w:val="none"/>
          <w:shd w:val="clear" w:color="auto" w:fill="FFFFFF"/>
        </w:rPr>
        <w:t>万元，</w:t>
      </w:r>
      <w:r>
        <w:rPr>
          <w:rFonts w:hint="eastAsia" w:ascii="仿宋_GB2312" w:hAnsi="仿宋_GB2312" w:eastAsia="仿宋_GB2312" w:cs="仿宋_GB2312"/>
          <w:color w:val="333333"/>
          <w:spacing w:val="-5"/>
          <w:sz w:val="32"/>
          <w:szCs w:val="32"/>
          <w:highlight w:val="none"/>
          <w:shd w:val="clear" w:color="auto" w:fill="FFFFFF"/>
          <w:lang w:eastAsia="zh-CN"/>
        </w:rPr>
        <w:t>超支</w:t>
      </w:r>
      <w:r>
        <w:rPr>
          <w:rFonts w:hint="eastAsia" w:ascii="仿宋_GB2312" w:hAnsi="仿宋_GB2312" w:eastAsia="仿宋_GB2312" w:cs="仿宋_GB2312"/>
          <w:color w:val="333333"/>
          <w:spacing w:val="-5"/>
          <w:sz w:val="32"/>
          <w:szCs w:val="32"/>
          <w:highlight w:val="none"/>
          <w:shd w:val="clear" w:color="auto" w:fill="FFFFFF"/>
          <w:lang w:val="en-US" w:eastAsia="zh-CN"/>
        </w:rPr>
        <w:t>153.504</w:t>
      </w:r>
      <w:r>
        <w:rPr>
          <w:rFonts w:hint="eastAsia" w:ascii="仿宋_GB2312" w:hAnsi="仿宋_GB2312" w:eastAsia="仿宋_GB2312" w:cs="仿宋_GB2312"/>
          <w:color w:val="333333"/>
          <w:spacing w:val="-5"/>
          <w:sz w:val="32"/>
          <w:szCs w:val="32"/>
          <w:highlight w:val="none"/>
          <w:shd w:val="clear" w:color="auto" w:fill="FFFFFF"/>
        </w:rPr>
        <w:t>万元。</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楷体_GB2312" w:hAnsi="楷体_GB2312" w:eastAsia="楷体_GB2312" w:cs="楷体_GB2312"/>
          <w:b/>
          <w:bCs/>
          <w:color w:val="333333"/>
          <w:sz w:val="32"/>
          <w:szCs w:val="32"/>
          <w:shd w:val="clear" w:color="auto" w:fill="FFFFFF"/>
          <w:lang w:val="en-US" w:eastAsia="zh-CN"/>
        </w:rPr>
      </w:pPr>
      <w:r>
        <w:rPr>
          <w:rFonts w:hint="eastAsia" w:ascii="楷体_GB2312" w:hAnsi="楷体_GB2312" w:eastAsia="楷体_GB2312" w:cs="楷体_GB2312"/>
          <w:b/>
          <w:bCs/>
          <w:color w:val="333333"/>
          <w:sz w:val="32"/>
          <w:szCs w:val="32"/>
          <w:shd w:val="clear" w:color="auto" w:fill="FFFFFF"/>
          <w:lang w:val="en-US" w:eastAsia="zh-CN"/>
        </w:rPr>
        <w:t>（三）非税收入完成情况</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20" w:firstLineChars="200"/>
        <w:textAlignment w:val="auto"/>
        <w:outlineLvl w:val="9"/>
        <w:rPr>
          <w:rFonts w:hint="eastAsia" w:ascii="仿宋_GB2312" w:hAnsi="仿宋_GB2312" w:eastAsia="仿宋_GB2312" w:cs="仿宋_GB2312"/>
          <w:color w:val="333333"/>
          <w:spacing w:val="-5"/>
          <w:sz w:val="32"/>
          <w:szCs w:val="32"/>
          <w:shd w:val="clear" w:color="auto" w:fill="FFFFFF"/>
          <w:lang w:val="en-US" w:eastAsia="zh-CN"/>
        </w:rPr>
      </w:pPr>
      <w:r>
        <w:rPr>
          <w:rFonts w:hint="eastAsia" w:ascii="仿宋_GB2312" w:hAnsi="仿宋_GB2312" w:eastAsia="仿宋_GB2312" w:cs="仿宋_GB2312"/>
          <w:color w:val="333333"/>
          <w:spacing w:val="-5"/>
          <w:sz w:val="32"/>
          <w:szCs w:val="32"/>
          <w:shd w:val="clear" w:color="auto" w:fill="FFFFFF"/>
          <w:lang w:val="en-US" w:eastAsia="zh-CN"/>
        </w:rPr>
        <w:t>东安县环境保护局2017年度的非税收入计划完成100万元，实际完成710.2594万元，其中监测费27.232万元，排污费185.5576万元，罚款496.3万元，排污权交易1.1697万元。超额完成年初计划目标。</w:t>
      </w:r>
    </w:p>
    <w:p>
      <w:pPr>
        <w:pStyle w:val="2"/>
        <w:pageBreakBefore w:val="0"/>
        <w:numPr>
          <w:ilvl w:val="0"/>
          <w:numId w:val="0"/>
        </w:numPr>
        <w:kinsoku/>
        <w:wordWrap/>
        <w:overflowPunct/>
        <w:topLinePunct w:val="0"/>
        <w:autoSpaceDE/>
        <w:autoSpaceDN/>
        <w:bidi w:val="0"/>
        <w:adjustRightInd/>
        <w:snapToGrid/>
        <w:spacing w:before="0" w:after="0" w:line="600" w:lineRule="exact"/>
        <w:ind w:left="0" w:leftChars="0" w:right="0" w:rightChars="0" w:firstLine="640" w:firstLineChars="200"/>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三、部门整体支出管理及使用情况</w:t>
      </w:r>
      <w:bookmarkEnd w:id="21"/>
    </w:p>
    <w:bookmarkEnd w:id="1"/>
    <w:bookmarkEnd w:id="2"/>
    <w:bookmarkEnd w:id="3"/>
    <w:bookmarkEnd w:id="4"/>
    <w:bookmarkEnd w:id="5"/>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3" w:firstLineChars="200"/>
        <w:textAlignment w:val="auto"/>
        <w:outlineLvl w:val="9"/>
        <w:rPr>
          <w:rFonts w:hint="eastAsia" w:ascii="楷体_GB2312" w:hAnsi="楷体_GB2312" w:eastAsia="楷体_GB2312" w:cs="楷体_GB2312"/>
          <w:b/>
          <w:bCs/>
          <w:color w:val="333333"/>
          <w:sz w:val="32"/>
          <w:szCs w:val="32"/>
          <w:shd w:val="clear" w:color="auto" w:fill="FFFFFF"/>
        </w:rPr>
      </w:pPr>
      <w:bookmarkStart w:id="22" w:name="_Toc413785906"/>
      <w:bookmarkStart w:id="23" w:name="_Toc413785909"/>
      <w:r>
        <w:rPr>
          <w:rFonts w:hint="eastAsia" w:ascii="楷体_GB2312" w:hAnsi="楷体_GB2312" w:eastAsia="楷体_GB2312" w:cs="楷体_GB2312"/>
          <w:b/>
          <w:bCs/>
          <w:color w:val="333333"/>
          <w:sz w:val="32"/>
          <w:szCs w:val="32"/>
          <w:shd w:val="clear" w:color="auto" w:fill="FFFFFF"/>
        </w:rPr>
        <w:t>（一）基本支出</w:t>
      </w:r>
      <w:r>
        <w:rPr>
          <w:rFonts w:hint="eastAsia" w:ascii="楷体_GB2312" w:hAnsi="楷体_GB2312" w:eastAsia="楷体_GB2312" w:cs="楷体_GB2312"/>
          <w:b/>
          <w:bCs/>
          <w:color w:val="333333"/>
          <w:sz w:val="32"/>
          <w:szCs w:val="32"/>
          <w:shd w:val="clear" w:color="auto" w:fill="FFFFFF"/>
          <w:lang w:val="en-US" w:eastAsia="zh-CN"/>
        </w:rPr>
        <w:t>和项目支出</w:t>
      </w:r>
      <w:r>
        <w:rPr>
          <w:rFonts w:hint="eastAsia" w:ascii="楷体_GB2312" w:hAnsi="楷体_GB2312" w:eastAsia="楷体_GB2312" w:cs="楷体_GB2312"/>
          <w:b/>
          <w:bCs/>
          <w:color w:val="333333"/>
          <w:sz w:val="32"/>
          <w:szCs w:val="32"/>
          <w:shd w:val="clear" w:color="auto" w:fill="FFFFFF"/>
        </w:rPr>
        <w:t>管理情况</w:t>
      </w:r>
      <w:bookmarkEnd w:id="22"/>
    </w:p>
    <w:p>
      <w:pPr>
        <w:pageBreakBefore w:val="0"/>
        <w:kinsoku/>
        <w:wordWrap/>
        <w:overflowPunct/>
        <w:topLinePunct w:val="0"/>
        <w:autoSpaceDE/>
        <w:bidi w:val="0"/>
        <w:adjustRightInd/>
        <w:snapToGrid/>
        <w:spacing w:line="600" w:lineRule="exact"/>
        <w:ind w:firstLine="640"/>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222222"/>
          <w:kern w:val="0"/>
          <w:sz w:val="32"/>
          <w:szCs w:val="32"/>
          <w:lang w:eastAsia="zh-CN" w:bidi="ar-SA"/>
        </w:rPr>
        <w:t>基本支出</w:t>
      </w:r>
      <w:r>
        <w:rPr>
          <w:rFonts w:hint="eastAsia" w:ascii="仿宋_GB2312" w:hAnsi="仿宋_GB2312" w:eastAsia="仿宋_GB2312" w:cs="仿宋_GB2312"/>
          <w:color w:val="222222"/>
          <w:kern w:val="0"/>
          <w:sz w:val="32"/>
          <w:szCs w:val="32"/>
          <w:lang w:val="en-US" w:eastAsia="zh-CN" w:bidi="ar-SA"/>
        </w:rPr>
        <w:t>和项目支出</w:t>
      </w:r>
      <w:r>
        <w:rPr>
          <w:rFonts w:hint="eastAsia" w:ascii="仿宋_GB2312" w:hAnsi="仿宋_GB2312" w:eastAsia="仿宋_GB2312" w:cs="仿宋_GB2312"/>
          <w:color w:val="222222"/>
          <w:kern w:val="0"/>
          <w:sz w:val="32"/>
          <w:szCs w:val="32"/>
          <w:lang w:eastAsia="zh-CN" w:bidi="ar-SA"/>
        </w:rPr>
        <w:t>的范围和主要用途包括人员经费、日常公用经费</w:t>
      </w:r>
      <w:r>
        <w:rPr>
          <w:rFonts w:hint="eastAsia" w:ascii="仿宋_GB2312" w:hAnsi="仿宋_GB2312" w:eastAsia="仿宋_GB2312" w:cs="仿宋_GB2312"/>
          <w:color w:val="222222"/>
          <w:kern w:val="0"/>
          <w:sz w:val="32"/>
          <w:szCs w:val="32"/>
          <w:lang w:val="en-US" w:eastAsia="zh-CN" w:bidi="ar-SA"/>
        </w:rPr>
        <w:t>和节能环保支出</w:t>
      </w:r>
      <w:r>
        <w:rPr>
          <w:rFonts w:hint="eastAsia" w:ascii="仿宋_GB2312" w:hAnsi="仿宋_GB2312" w:eastAsia="仿宋_GB2312" w:cs="仿宋_GB2312"/>
          <w:color w:val="222222"/>
          <w:kern w:val="0"/>
          <w:sz w:val="32"/>
          <w:szCs w:val="32"/>
          <w:lang w:eastAsia="zh-CN" w:bidi="ar-SA"/>
        </w:rPr>
        <w:t>。</w:t>
      </w:r>
      <w:r>
        <w:rPr>
          <w:rFonts w:hint="eastAsia" w:ascii="仿宋_GB2312" w:hAnsi="仿宋_GB2312" w:eastAsia="仿宋_GB2312" w:cs="仿宋_GB2312"/>
          <w:color w:val="333333"/>
          <w:sz w:val="32"/>
          <w:szCs w:val="32"/>
          <w:shd w:val="clear" w:color="auto" w:fill="FFFFFF"/>
        </w:rPr>
        <w:t>具体管理和使用情况如下：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outlineLvl w:val="9"/>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本年基本支出预算执行情况</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jc w:val="righ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单位：万元</w:t>
      </w:r>
    </w:p>
    <w:tbl>
      <w:tblPr>
        <w:tblStyle w:val="29"/>
        <w:tblW w:w="9260" w:type="dxa"/>
        <w:tblInd w:w="0" w:type="dxa"/>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2143"/>
        <w:gridCol w:w="1100"/>
        <w:gridCol w:w="1158"/>
        <w:gridCol w:w="699"/>
        <w:gridCol w:w="1325"/>
        <w:gridCol w:w="1197"/>
        <w:gridCol w:w="1638"/>
      </w:tblGrid>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782" w:hRule="atLeast"/>
          <w:tblHeader/>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项目</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上年结余</w:t>
            </w: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本年预算</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财政追加</w:t>
            </w: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预算合计</w:t>
            </w: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决算金额</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rPr>
              <w:t>结余</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rPr>
              <w:t>/超支</w:t>
            </w:r>
            <w:r>
              <w:rPr>
                <w:rFonts w:hint="eastAsia" w:ascii="仿宋_GB2312" w:hAnsi="仿宋_GB2312" w:eastAsia="仿宋_GB2312" w:cs="仿宋_GB2312"/>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82"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工资福利支出</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lang w:val="en-US" w:eastAsia="zh-CN"/>
              </w:rPr>
              <w:t>303.4549</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303.4549</w:t>
            </w: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482.9949</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-179.54</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82"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商品和服务支出</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191.4698</w:t>
            </w: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186.1535</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rPr>
            </w:pPr>
            <w:r>
              <w:rPr>
                <w:rFonts w:hint="eastAsia" w:ascii="仿宋_GB2312" w:hAnsi="仿宋_GB2312" w:eastAsia="仿宋_GB2312" w:cs="仿宋_GB2312"/>
                <w:sz w:val="21"/>
                <w:szCs w:val="21"/>
                <w:highlight w:val="none"/>
                <w:lang w:val="en-US" w:eastAsia="zh-CN"/>
              </w:rPr>
              <w:t>377.6233</w:t>
            </w: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225.9059</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151.7174</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82"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lang w:eastAsia="zh-CN"/>
              </w:rPr>
              <w:t>对个人和家庭的补助</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137.7906</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lang w:val="en-US" w:eastAsia="zh-CN"/>
              </w:rPr>
              <w:t>137.7906</w:t>
            </w: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8.0786</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129.712</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72"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lang w:val="en-US" w:eastAsia="zh-CN"/>
              </w:rPr>
              <w:t>其他资本性</w:t>
            </w:r>
            <w:r>
              <w:rPr>
                <w:rFonts w:hint="eastAsia" w:ascii="仿宋_GB2312" w:hAnsi="仿宋_GB2312" w:eastAsia="仿宋_GB2312" w:cs="仿宋_GB2312"/>
                <w:sz w:val="21"/>
                <w:szCs w:val="21"/>
                <w:highlight w:val="none"/>
                <w:lang w:eastAsia="zh-CN"/>
              </w:rPr>
              <w:t>支出</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0.908</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-0.908</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72"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lang w:val="en-US" w:eastAsia="zh-CN"/>
              </w:rPr>
              <w:t>其他</w:t>
            </w:r>
            <w:r>
              <w:rPr>
                <w:rFonts w:hint="eastAsia" w:ascii="仿宋_GB2312" w:hAnsi="仿宋_GB2312" w:eastAsia="仿宋_GB2312" w:cs="仿宋_GB2312"/>
                <w:sz w:val="21"/>
                <w:szCs w:val="21"/>
                <w:highlight w:val="none"/>
                <w:lang w:eastAsia="zh-CN"/>
              </w:rPr>
              <w:t>支出</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0</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109.678</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-109.678</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434" w:hRule="atLeast"/>
        </w:trPr>
        <w:tc>
          <w:tcPr>
            <w:tcW w:w="2143"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合计</w:t>
            </w:r>
          </w:p>
        </w:tc>
        <w:tc>
          <w:tcPr>
            <w:tcW w:w="1100"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highlight w:val="none"/>
              </w:rPr>
            </w:pPr>
            <w:r>
              <w:rPr>
                <w:rFonts w:hint="eastAsia" w:ascii="仿宋_GB2312" w:hAnsi="仿宋_GB2312" w:eastAsia="仿宋_GB2312" w:cs="仿宋_GB2312"/>
                <w:sz w:val="21"/>
                <w:szCs w:val="21"/>
                <w:highlight w:val="none"/>
              </w:rPr>
              <w:t>191.4698</w:t>
            </w:r>
          </w:p>
        </w:tc>
        <w:tc>
          <w:tcPr>
            <w:tcW w:w="115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rPr>
              <w:t>627</w:t>
            </w:r>
            <w:r>
              <w:rPr>
                <w:rFonts w:hint="eastAsia" w:ascii="仿宋_GB2312" w:hAnsi="仿宋_GB2312" w:eastAsia="仿宋_GB2312" w:cs="仿宋_GB2312"/>
                <w:sz w:val="21"/>
                <w:szCs w:val="21"/>
                <w:highlight w:val="none"/>
                <w:lang w:val="en-US" w:eastAsia="zh-CN"/>
              </w:rPr>
              <w:t>.</w:t>
            </w:r>
            <w:r>
              <w:rPr>
                <w:rFonts w:hint="eastAsia" w:ascii="仿宋_GB2312" w:hAnsi="仿宋_GB2312" w:eastAsia="仿宋_GB2312" w:cs="仿宋_GB2312"/>
                <w:sz w:val="21"/>
                <w:szCs w:val="21"/>
                <w:highlight w:val="none"/>
              </w:rPr>
              <w:t>399</w:t>
            </w:r>
          </w:p>
        </w:tc>
        <w:tc>
          <w:tcPr>
            <w:tcW w:w="699"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rPr>
            </w:pPr>
          </w:p>
        </w:tc>
        <w:tc>
          <w:tcPr>
            <w:tcW w:w="1325"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818.8688</w:t>
            </w:r>
          </w:p>
        </w:tc>
        <w:tc>
          <w:tcPr>
            <w:tcW w:w="119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827.5654</w:t>
            </w:r>
          </w:p>
        </w:tc>
        <w:tc>
          <w:tcPr>
            <w:tcW w:w="1638"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-8.6966</w:t>
            </w:r>
          </w:p>
        </w:tc>
      </w:tr>
    </w:tbl>
    <w:p>
      <w:pPr>
        <w:pageBreakBefore w:val="0"/>
        <w:kinsoku/>
        <w:wordWrap/>
        <w:overflowPunct/>
        <w:topLinePunct w:val="0"/>
        <w:autoSpaceDE/>
        <w:bidi w:val="0"/>
        <w:adjustRightInd/>
        <w:snapToGrid/>
        <w:spacing w:line="600" w:lineRule="exact"/>
        <w:ind w:left="0" w:leftChars="0" w:right="0" w:rightChars="0" w:firstLine="643" w:firstLineChars="200"/>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1</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color w:val="333333"/>
          <w:sz w:val="32"/>
          <w:szCs w:val="32"/>
          <w:shd w:val="clear" w:color="auto" w:fill="FFFFFF"/>
        </w:rPr>
        <w:t>基本支出总额的使用和管理情况</w:t>
      </w:r>
    </w:p>
    <w:p>
      <w:pPr>
        <w:pageBreakBefore w:val="0"/>
        <w:kinsoku/>
        <w:wordWrap/>
        <w:overflowPunct/>
        <w:topLinePunct w:val="0"/>
        <w:autoSpaceDE/>
        <w:bidi w:val="0"/>
        <w:adjustRightInd/>
        <w:snapToGrid/>
        <w:spacing w:line="600" w:lineRule="exact"/>
        <w:ind w:left="0" w:leftChars="0" w:right="0" w:rightChars="0" w:firstLine="640" w:firstLineChars="200"/>
        <w:rPr>
          <w:rFonts w:hint="eastAsia" w:ascii="仿宋_GB2312" w:hAnsi="仿宋_GB2312" w:eastAsia="仿宋_GB2312" w:cs="仿宋_GB2312"/>
          <w:color w:val="333333"/>
          <w:sz w:val="32"/>
          <w:szCs w:val="32"/>
          <w:highlight w:val="none"/>
          <w:shd w:val="clear" w:color="auto" w:fill="FFFFFF"/>
          <w:lang w:eastAsia="zh-CN"/>
        </w:rPr>
      </w:pPr>
      <w:r>
        <w:rPr>
          <w:rFonts w:hint="eastAsia" w:ascii="仿宋_GB2312" w:hAnsi="仿宋_GB2312" w:eastAsia="仿宋_GB2312" w:cs="仿宋_GB2312"/>
          <w:color w:val="333333"/>
          <w:sz w:val="32"/>
          <w:szCs w:val="32"/>
          <w:highlight w:val="none"/>
          <w:shd w:val="clear" w:color="auto" w:fill="FFFFFF"/>
        </w:rPr>
        <w:t>（1）本年</w:t>
      </w:r>
      <w:r>
        <w:rPr>
          <w:rFonts w:hint="eastAsia" w:ascii="仿宋_GB2312" w:hAnsi="仿宋_GB2312" w:eastAsia="仿宋_GB2312" w:cs="仿宋_GB2312"/>
          <w:color w:val="333333"/>
          <w:sz w:val="32"/>
          <w:szCs w:val="32"/>
          <w:highlight w:val="none"/>
          <w:shd w:val="clear" w:color="auto" w:fill="FFFFFF"/>
          <w:lang w:val="en-US" w:eastAsia="zh-CN"/>
        </w:rPr>
        <w:t>基本</w:t>
      </w:r>
      <w:r>
        <w:rPr>
          <w:rFonts w:hint="eastAsia" w:ascii="仿宋_GB2312" w:hAnsi="仿宋_GB2312" w:eastAsia="仿宋_GB2312" w:cs="仿宋_GB2312"/>
          <w:color w:val="333333"/>
          <w:sz w:val="32"/>
          <w:szCs w:val="32"/>
          <w:highlight w:val="none"/>
          <w:shd w:val="clear" w:color="auto" w:fill="FFFFFF"/>
        </w:rPr>
        <w:t>支出总额</w:t>
      </w:r>
      <w:r>
        <w:rPr>
          <w:rFonts w:hint="eastAsia" w:ascii="仿宋_GB2312" w:hAnsi="仿宋_GB2312" w:eastAsia="仿宋_GB2312" w:cs="仿宋_GB2312"/>
          <w:color w:val="333333"/>
          <w:sz w:val="32"/>
          <w:szCs w:val="32"/>
          <w:highlight w:val="none"/>
          <w:shd w:val="clear" w:color="auto" w:fill="FFFFFF"/>
          <w:lang w:val="en-US" w:eastAsia="zh-CN"/>
        </w:rPr>
        <w:t>827.5654</w:t>
      </w:r>
      <w:r>
        <w:rPr>
          <w:rFonts w:hint="eastAsia" w:ascii="仿宋_GB2312" w:hAnsi="仿宋_GB2312" w:eastAsia="仿宋_GB2312" w:cs="仿宋_GB2312"/>
          <w:color w:val="333333"/>
          <w:sz w:val="32"/>
          <w:szCs w:val="32"/>
          <w:highlight w:val="none"/>
          <w:shd w:val="clear" w:color="auto" w:fill="FFFFFF"/>
        </w:rPr>
        <w:t>万元，比</w:t>
      </w:r>
      <w:r>
        <w:rPr>
          <w:rFonts w:hint="eastAsia" w:ascii="仿宋_GB2312" w:hAnsi="仿宋_GB2312" w:eastAsia="仿宋_GB2312" w:cs="仿宋_GB2312"/>
          <w:color w:val="333333"/>
          <w:sz w:val="32"/>
          <w:szCs w:val="32"/>
          <w:highlight w:val="none"/>
          <w:shd w:val="clear" w:color="auto" w:fill="FFFFFF"/>
          <w:lang w:eastAsia="zh-CN"/>
        </w:rPr>
        <w:t>年初</w:t>
      </w:r>
      <w:r>
        <w:rPr>
          <w:rFonts w:hint="eastAsia" w:ascii="仿宋_GB2312" w:hAnsi="仿宋_GB2312" w:eastAsia="仿宋_GB2312" w:cs="仿宋_GB2312"/>
          <w:color w:val="333333"/>
          <w:sz w:val="32"/>
          <w:szCs w:val="32"/>
          <w:highlight w:val="none"/>
          <w:shd w:val="clear" w:color="auto" w:fill="FFFFFF"/>
          <w:lang w:val="en-US" w:eastAsia="zh-CN"/>
        </w:rPr>
        <w:t>预算可用资金818.8688万元（包括年初县本级预算</w:t>
      </w:r>
      <w:r>
        <w:rPr>
          <w:rFonts w:hint="eastAsia" w:ascii="仿宋_GB2312" w:hAnsi="仿宋_GB2312" w:eastAsia="仿宋_GB2312" w:cs="仿宋_GB2312"/>
          <w:color w:val="333333"/>
          <w:sz w:val="32"/>
          <w:szCs w:val="32"/>
          <w:highlight w:val="none"/>
          <w:shd w:val="clear" w:color="auto" w:fill="FFFFFF"/>
        </w:rPr>
        <w:t>627</w:t>
      </w:r>
      <w:r>
        <w:rPr>
          <w:rFonts w:hint="eastAsia" w:ascii="仿宋_GB2312" w:hAnsi="仿宋_GB2312" w:eastAsia="仿宋_GB2312" w:cs="仿宋_GB2312"/>
          <w:color w:val="333333"/>
          <w:sz w:val="32"/>
          <w:szCs w:val="32"/>
          <w:highlight w:val="none"/>
          <w:shd w:val="clear" w:color="auto" w:fill="FFFFFF"/>
          <w:lang w:val="en-US" w:eastAsia="zh-CN"/>
        </w:rPr>
        <w:t>.</w:t>
      </w:r>
      <w:r>
        <w:rPr>
          <w:rFonts w:hint="eastAsia" w:ascii="仿宋_GB2312" w:hAnsi="仿宋_GB2312" w:eastAsia="仿宋_GB2312" w:cs="仿宋_GB2312"/>
          <w:color w:val="333333"/>
          <w:sz w:val="32"/>
          <w:szCs w:val="32"/>
          <w:highlight w:val="none"/>
          <w:shd w:val="clear" w:color="auto" w:fill="FFFFFF"/>
        </w:rPr>
        <w:t>399</w:t>
      </w:r>
      <w:r>
        <w:rPr>
          <w:rFonts w:hint="eastAsia" w:ascii="仿宋_GB2312" w:hAnsi="仿宋_GB2312" w:eastAsia="仿宋_GB2312" w:cs="仿宋_GB2312"/>
          <w:color w:val="333333"/>
          <w:sz w:val="32"/>
          <w:szCs w:val="32"/>
          <w:highlight w:val="none"/>
          <w:shd w:val="clear" w:color="auto" w:fill="FFFFFF"/>
          <w:lang w:val="en-US" w:eastAsia="zh-CN"/>
        </w:rPr>
        <w:t>万</w:t>
      </w:r>
      <w:r>
        <w:rPr>
          <w:rFonts w:hint="eastAsia" w:ascii="仿宋_GB2312" w:hAnsi="仿宋_GB2312" w:eastAsia="仿宋_GB2312" w:cs="仿宋_GB2312"/>
          <w:color w:val="333333"/>
          <w:sz w:val="32"/>
          <w:szCs w:val="32"/>
          <w:highlight w:val="none"/>
          <w:shd w:val="clear" w:color="auto" w:fill="FFFFFF"/>
        </w:rPr>
        <w:t>元</w:t>
      </w:r>
      <w:r>
        <w:rPr>
          <w:rFonts w:hint="eastAsia" w:ascii="仿宋_GB2312" w:hAnsi="仿宋_GB2312" w:eastAsia="仿宋_GB2312" w:cs="仿宋_GB2312"/>
          <w:color w:val="333333"/>
          <w:sz w:val="32"/>
          <w:szCs w:val="32"/>
          <w:highlight w:val="none"/>
          <w:shd w:val="clear" w:color="auto" w:fill="FFFFFF"/>
          <w:lang w:eastAsia="zh-CN"/>
        </w:rPr>
        <w:t>，上年结转191.4698</w:t>
      </w:r>
      <w:r>
        <w:rPr>
          <w:rFonts w:hint="eastAsia" w:ascii="仿宋_GB2312" w:hAnsi="仿宋_GB2312" w:eastAsia="仿宋_GB2312" w:cs="仿宋_GB2312"/>
          <w:color w:val="333333"/>
          <w:sz w:val="32"/>
          <w:szCs w:val="32"/>
          <w:highlight w:val="none"/>
          <w:shd w:val="clear" w:color="auto" w:fill="FFFFFF"/>
          <w:lang w:val="en-US" w:eastAsia="zh-CN"/>
        </w:rPr>
        <w:t>万</w:t>
      </w:r>
      <w:r>
        <w:rPr>
          <w:rFonts w:hint="eastAsia" w:ascii="仿宋_GB2312" w:hAnsi="仿宋_GB2312" w:eastAsia="仿宋_GB2312" w:cs="仿宋_GB2312"/>
          <w:color w:val="333333"/>
          <w:sz w:val="32"/>
          <w:szCs w:val="32"/>
          <w:highlight w:val="none"/>
          <w:shd w:val="clear" w:color="auto" w:fill="FFFFFF"/>
        </w:rPr>
        <w:t>元</w:t>
      </w:r>
      <w:r>
        <w:rPr>
          <w:rFonts w:hint="eastAsia" w:ascii="仿宋_GB2312" w:hAnsi="仿宋_GB2312" w:eastAsia="仿宋_GB2312" w:cs="仿宋_GB2312"/>
          <w:color w:val="333333"/>
          <w:sz w:val="32"/>
          <w:szCs w:val="32"/>
          <w:highlight w:val="none"/>
          <w:shd w:val="clear" w:color="auto" w:fill="FFFFFF"/>
          <w:lang w:val="en-US" w:eastAsia="zh-CN"/>
        </w:rPr>
        <w:t>)</w:t>
      </w:r>
      <w:r>
        <w:rPr>
          <w:rFonts w:hint="eastAsia" w:ascii="仿宋_GB2312" w:hAnsi="仿宋_GB2312" w:eastAsia="仿宋_GB2312" w:cs="仿宋_GB2312"/>
          <w:color w:val="333333"/>
          <w:sz w:val="32"/>
          <w:szCs w:val="32"/>
          <w:highlight w:val="none"/>
          <w:shd w:val="clear" w:color="auto" w:fill="FFFFFF"/>
          <w:lang w:eastAsia="zh-CN"/>
        </w:rPr>
        <w:t>，超</w:t>
      </w:r>
      <w:r>
        <w:rPr>
          <w:rFonts w:hint="eastAsia" w:ascii="仿宋_GB2312" w:hAnsi="仿宋_GB2312" w:eastAsia="仿宋_GB2312" w:cs="仿宋_GB2312"/>
          <w:color w:val="333333"/>
          <w:sz w:val="32"/>
          <w:szCs w:val="32"/>
          <w:highlight w:val="none"/>
          <w:shd w:val="clear" w:color="auto" w:fill="FFFFFF"/>
          <w:lang w:val="en-US" w:eastAsia="zh-CN"/>
        </w:rPr>
        <w:t>支8.6966万元，其中工资福利支出超支179.54万元，其他资本性支出超支0.908万元，其他支出超支109.678万元，商品和服务支出结余151.7174</w:t>
      </w:r>
      <w:r>
        <w:rPr>
          <w:rFonts w:hint="eastAsia" w:ascii="仿宋_GB2312" w:hAnsi="仿宋_GB2312" w:eastAsia="仿宋_GB2312" w:cs="仿宋_GB2312"/>
          <w:color w:val="333333"/>
          <w:sz w:val="32"/>
          <w:szCs w:val="32"/>
          <w:highlight w:val="none"/>
          <w:shd w:val="clear" w:color="auto" w:fill="FFFFFF"/>
        </w:rPr>
        <w:t>万元</w:t>
      </w:r>
      <w:r>
        <w:rPr>
          <w:rFonts w:hint="eastAsia" w:ascii="仿宋_GB2312" w:hAnsi="仿宋_GB2312" w:eastAsia="仿宋_GB2312" w:cs="仿宋_GB2312"/>
          <w:color w:val="333333"/>
          <w:sz w:val="32"/>
          <w:szCs w:val="32"/>
          <w:highlight w:val="none"/>
          <w:shd w:val="clear" w:color="auto" w:fill="FFFFFF"/>
          <w:lang w:eastAsia="zh-CN"/>
        </w:rPr>
        <w:t>，对个人和家庭的补助结余</w:t>
      </w:r>
      <w:r>
        <w:rPr>
          <w:rFonts w:hint="eastAsia" w:ascii="仿宋_GB2312" w:hAnsi="仿宋_GB2312" w:eastAsia="仿宋_GB2312" w:cs="仿宋_GB2312"/>
          <w:color w:val="333333"/>
          <w:sz w:val="32"/>
          <w:szCs w:val="32"/>
          <w:highlight w:val="none"/>
          <w:shd w:val="clear" w:color="auto" w:fill="FFFFFF"/>
          <w:lang w:val="en-US" w:eastAsia="zh-CN"/>
        </w:rPr>
        <w:t>129.712万元</w:t>
      </w:r>
      <w:r>
        <w:rPr>
          <w:rFonts w:hint="eastAsia" w:ascii="仿宋_GB2312" w:hAnsi="仿宋_GB2312" w:eastAsia="仿宋_GB2312" w:cs="仿宋_GB2312"/>
          <w:color w:val="333333"/>
          <w:sz w:val="32"/>
          <w:szCs w:val="32"/>
          <w:highlight w:val="none"/>
          <w:shd w:val="clear" w:color="auto" w:fill="FFFFFF"/>
          <w:lang w:eastAsia="zh-CN"/>
        </w:rPr>
        <w:t>。</w:t>
      </w:r>
    </w:p>
    <w:p>
      <w:pPr>
        <w:pageBreakBefore w:val="0"/>
        <w:kinsoku/>
        <w:wordWrap/>
        <w:overflowPunct/>
        <w:topLinePunct w:val="0"/>
        <w:autoSpaceDE/>
        <w:bidi w:val="0"/>
        <w:adjustRightInd/>
        <w:snapToGrid/>
        <w:spacing w:line="600" w:lineRule="exact"/>
        <w:ind w:left="0" w:leftChars="0" w:right="0" w:rightChars="0" w:firstLine="640" w:firstLineChars="200"/>
        <w:rPr>
          <w:rFonts w:hint="eastAsia" w:ascii="仿宋_GB2312" w:hAnsi="仿宋_GB2312" w:eastAsia="仿宋_GB2312" w:cs="仿宋_GB2312"/>
          <w:color w:val="333333"/>
          <w:sz w:val="32"/>
          <w:szCs w:val="32"/>
          <w:highlight w:val="none"/>
          <w:shd w:val="clear" w:color="auto" w:fill="FFFFFF"/>
          <w:lang w:eastAsia="zh-CN"/>
        </w:rPr>
      </w:pPr>
      <w:r>
        <w:rPr>
          <w:rFonts w:hint="eastAsia" w:ascii="仿宋_GB2312" w:hAnsi="仿宋_GB2312" w:eastAsia="仿宋_GB2312" w:cs="仿宋_GB2312"/>
          <w:color w:val="333333"/>
          <w:sz w:val="32"/>
          <w:szCs w:val="32"/>
          <w:highlight w:val="none"/>
          <w:shd w:val="clear" w:color="auto" w:fill="FFFFFF"/>
        </w:rPr>
        <w:t>（2）</w:t>
      </w:r>
      <w:r>
        <w:rPr>
          <w:rFonts w:hint="eastAsia" w:ascii="仿宋_GB2312" w:hAnsi="仿宋_GB2312" w:eastAsia="仿宋_GB2312" w:cs="仿宋_GB2312"/>
          <w:color w:val="333333"/>
          <w:sz w:val="32"/>
          <w:szCs w:val="32"/>
          <w:highlight w:val="none"/>
          <w:shd w:val="clear" w:color="auto" w:fill="FFFFFF"/>
          <w:lang w:eastAsia="zh-CN"/>
        </w:rPr>
        <w:t>基本支出中：工资福利支出占总基本支出的比例</w:t>
      </w:r>
      <w:r>
        <w:rPr>
          <w:rFonts w:hint="eastAsia" w:ascii="仿宋_GB2312" w:hAnsi="仿宋_GB2312" w:eastAsia="仿宋_GB2312" w:cs="仿宋_GB2312"/>
          <w:color w:val="333333"/>
          <w:sz w:val="32"/>
          <w:szCs w:val="32"/>
          <w:highlight w:val="none"/>
          <w:shd w:val="clear" w:color="auto" w:fill="FFFFFF"/>
          <w:lang w:val="en-US" w:eastAsia="zh-CN"/>
        </w:rPr>
        <w:t>58.36</w:t>
      </w:r>
      <w:r>
        <w:rPr>
          <w:rFonts w:hint="eastAsia" w:ascii="仿宋_GB2312" w:hAnsi="仿宋_GB2312" w:eastAsia="仿宋_GB2312" w:cs="仿宋_GB2312"/>
          <w:color w:val="333333"/>
          <w:sz w:val="32"/>
          <w:szCs w:val="32"/>
          <w:highlight w:val="none"/>
          <w:shd w:val="clear" w:color="auto" w:fill="FFFFFF"/>
          <w:lang w:eastAsia="zh-CN"/>
        </w:rPr>
        <w:t>%，商品和服务支出占总基本支出比例</w:t>
      </w:r>
      <w:r>
        <w:rPr>
          <w:rFonts w:hint="eastAsia" w:ascii="仿宋_GB2312" w:hAnsi="仿宋_GB2312" w:eastAsia="仿宋_GB2312" w:cs="仿宋_GB2312"/>
          <w:color w:val="333333"/>
          <w:sz w:val="32"/>
          <w:szCs w:val="32"/>
          <w:highlight w:val="none"/>
          <w:shd w:val="clear" w:color="auto" w:fill="FFFFFF"/>
          <w:lang w:val="en-US" w:eastAsia="zh-CN"/>
        </w:rPr>
        <w:t>27.30</w:t>
      </w:r>
      <w:r>
        <w:rPr>
          <w:rFonts w:hint="eastAsia" w:ascii="仿宋_GB2312" w:hAnsi="仿宋_GB2312" w:eastAsia="仿宋_GB2312" w:cs="仿宋_GB2312"/>
          <w:color w:val="333333"/>
          <w:sz w:val="32"/>
          <w:szCs w:val="32"/>
          <w:highlight w:val="none"/>
          <w:shd w:val="clear" w:color="auto" w:fill="FFFFFF"/>
          <w:lang w:eastAsia="zh-CN"/>
        </w:rPr>
        <w:t>%，对个人和家庭的补助支出占总基本支出的比例</w:t>
      </w:r>
      <w:r>
        <w:rPr>
          <w:rFonts w:hint="eastAsia" w:ascii="仿宋_GB2312" w:hAnsi="仿宋_GB2312" w:eastAsia="仿宋_GB2312" w:cs="仿宋_GB2312"/>
          <w:color w:val="333333"/>
          <w:sz w:val="32"/>
          <w:szCs w:val="32"/>
          <w:highlight w:val="none"/>
          <w:shd w:val="clear" w:color="auto" w:fill="FFFFFF"/>
          <w:lang w:val="en-US" w:eastAsia="zh-CN"/>
        </w:rPr>
        <w:t>0.98%，其他资本性</w:t>
      </w:r>
      <w:r>
        <w:rPr>
          <w:rFonts w:hint="eastAsia" w:ascii="仿宋_GB2312" w:hAnsi="仿宋_GB2312" w:eastAsia="仿宋_GB2312" w:cs="仿宋_GB2312"/>
          <w:color w:val="333333"/>
          <w:sz w:val="32"/>
          <w:szCs w:val="32"/>
          <w:highlight w:val="none"/>
          <w:shd w:val="clear" w:color="auto" w:fill="FFFFFF"/>
          <w:lang w:eastAsia="zh-CN"/>
        </w:rPr>
        <w:t>支出占总基本支出比例</w:t>
      </w:r>
      <w:r>
        <w:rPr>
          <w:rFonts w:hint="eastAsia" w:ascii="仿宋_GB2312" w:hAnsi="仿宋_GB2312" w:eastAsia="仿宋_GB2312" w:cs="仿宋_GB2312"/>
          <w:color w:val="333333"/>
          <w:sz w:val="32"/>
          <w:szCs w:val="32"/>
          <w:highlight w:val="none"/>
          <w:shd w:val="clear" w:color="auto" w:fill="FFFFFF"/>
          <w:lang w:val="en-US" w:eastAsia="zh-CN"/>
        </w:rPr>
        <w:t>0.11%，其他</w:t>
      </w:r>
      <w:r>
        <w:rPr>
          <w:rFonts w:hint="eastAsia" w:ascii="仿宋_GB2312" w:hAnsi="仿宋_GB2312" w:eastAsia="仿宋_GB2312" w:cs="仿宋_GB2312"/>
          <w:color w:val="333333"/>
          <w:sz w:val="32"/>
          <w:szCs w:val="32"/>
          <w:highlight w:val="none"/>
          <w:shd w:val="clear" w:color="auto" w:fill="FFFFFF"/>
          <w:lang w:eastAsia="zh-CN"/>
        </w:rPr>
        <w:t>支出占总基本支出比例</w:t>
      </w:r>
      <w:r>
        <w:rPr>
          <w:rFonts w:hint="eastAsia" w:ascii="仿宋_GB2312" w:hAnsi="仿宋_GB2312" w:eastAsia="仿宋_GB2312" w:cs="仿宋_GB2312"/>
          <w:color w:val="333333"/>
          <w:sz w:val="32"/>
          <w:szCs w:val="32"/>
          <w:highlight w:val="none"/>
          <w:shd w:val="clear" w:color="auto" w:fill="FFFFFF"/>
          <w:lang w:val="en-US" w:eastAsia="zh-CN"/>
        </w:rPr>
        <w:t>13.25%。</w:t>
      </w:r>
    </w:p>
    <w:p>
      <w:pPr>
        <w:pageBreakBefore w:val="0"/>
        <w:kinsoku/>
        <w:wordWrap/>
        <w:overflowPunct/>
        <w:topLinePunct w:val="0"/>
        <w:autoSpaceDE/>
        <w:bidi w:val="0"/>
        <w:adjustRightInd/>
        <w:snapToGrid/>
        <w:spacing w:line="600" w:lineRule="exact"/>
        <w:ind w:left="0" w:leftChars="0" w:right="0" w:rightChars="0" w:firstLine="643" w:firstLineChars="200"/>
        <w:rPr>
          <w:rFonts w:hint="eastAsia" w:ascii="仿宋_GB2312" w:hAnsi="仿宋_GB2312" w:eastAsia="仿宋_GB2312" w:cs="仿宋_GB2312"/>
          <w:b/>
          <w:bCs/>
          <w:color w:val="333333"/>
          <w:sz w:val="32"/>
          <w:szCs w:val="32"/>
          <w:shd w:val="clear" w:color="auto" w:fill="FFFFFF"/>
        </w:rPr>
      </w:pPr>
      <w:r>
        <w:rPr>
          <w:rFonts w:hint="eastAsia" w:ascii="仿宋_GB2312" w:hAnsi="仿宋_GB2312" w:eastAsia="仿宋_GB2312" w:cs="仿宋_GB2312"/>
          <w:b/>
          <w:bCs/>
          <w:color w:val="333333"/>
          <w:sz w:val="32"/>
          <w:szCs w:val="32"/>
          <w:shd w:val="clear" w:color="auto" w:fill="FFFFFF"/>
        </w:rPr>
        <w:t>2</w:t>
      </w:r>
      <w:r>
        <w:rPr>
          <w:rFonts w:hint="eastAsia" w:ascii="仿宋_GB2312" w:hAnsi="仿宋_GB2312" w:eastAsia="仿宋_GB2312" w:cs="仿宋_GB2312"/>
          <w:b/>
          <w:bCs/>
          <w:color w:val="333333"/>
          <w:sz w:val="32"/>
          <w:szCs w:val="32"/>
          <w:shd w:val="clear" w:color="auto" w:fill="FFFFFF"/>
          <w:lang w:eastAsia="zh-CN"/>
        </w:rPr>
        <w:t>、</w:t>
      </w:r>
      <w:r>
        <w:rPr>
          <w:rFonts w:hint="eastAsia" w:ascii="仿宋_GB2312" w:hAnsi="仿宋_GB2312" w:eastAsia="仿宋_GB2312" w:cs="仿宋_GB2312"/>
          <w:b/>
          <w:bCs/>
          <w:color w:val="333333"/>
          <w:sz w:val="32"/>
          <w:szCs w:val="32"/>
          <w:shd w:val="clear" w:color="auto" w:fill="FFFFFF"/>
        </w:rPr>
        <w:t>基本支出总额各支出项目管理情况</w:t>
      </w:r>
    </w:p>
    <w:p>
      <w:pPr>
        <w:pageBreakBefore w:val="0"/>
        <w:kinsoku/>
        <w:wordWrap/>
        <w:overflowPunct/>
        <w:topLinePunct w:val="0"/>
        <w:autoSpaceDE/>
        <w:bidi w:val="0"/>
        <w:adjustRightInd/>
        <w:snapToGrid/>
        <w:spacing w:line="600" w:lineRule="exact"/>
        <w:ind w:left="0" w:leftChars="0" w:right="0" w:rightChars="0" w:firstLine="640" w:firstLineChars="200"/>
        <w:rPr>
          <w:rFonts w:hint="eastAsia" w:ascii="仿宋_GB2312" w:hAnsi="仿宋_GB2312" w:eastAsia="仿宋_GB2312" w:cs="仿宋_GB2312"/>
          <w:color w:val="333333"/>
          <w:sz w:val="32"/>
          <w:szCs w:val="32"/>
          <w:highlight w:val="none"/>
          <w:shd w:val="clear" w:color="auto" w:fill="FFFFFF"/>
          <w:lang w:val="en-US" w:eastAsia="zh-CN"/>
        </w:rPr>
      </w:pPr>
      <w:r>
        <w:rPr>
          <w:rFonts w:hint="eastAsia" w:ascii="仿宋_GB2312" w:hAnsi="仿宋_GB2312" w:eastAsia="仿宋_GB2312" w:cs="仿宋_GB2312"/>
          <w:color w:val="333333"/>
          <w:sz w:val="32"/>
          <w:szCs w:val="32"/>
          <w:shd w:val="clear" w:color="auto" w:fill="FFFFFF"/>
        </w:rPr>
        <w:t>从上所述基本</w:t>
      </w:r>
      <w:r>
        <w:rPr>
          <w:rFonts w:hint="eastAsia" w:ascii="仿宋_GB2312" w:hAnsi="仿宋_GB2312" w:eastAsia="仿宋_GB2312" w:cs="仿宋_GB2312"/>
          <w:color w:val="333333"/>
          <w:sz w:val="32"/>
          <w:szCs w:val="32"/>
          <w:highlight w:val="none"/>
          <w:shd w:val="clear" w:color="auto" w:fill="FFFFFF"/>
        </w:rPr>
        <w:t>支出超支</w:t>
      </w:r>
      <w:r>
        <w:rPr>
          <w:rFonts w:hint="eastAsia" w:ascii="仿宋_GB2312" w:hAnsi="仿宋_GB2312" w:eastAsia="仿宋_GB2312" w:cs="仿宋_GB2312"/>
          <w:color w:val="333333"/>
          <w:sz w:val="32"/>
          <w:szCs w:val="32"/>
          <w:highlight w:val="none"/>
          <w:shd w:val="clear" w:color="auto" w:fill="FFFFFF"/>
          <w:lang w:val="en-US" w:eastAsia="zh-CN"/>
        </w:rPr>
        <w:t>8.6966万元</w:t>
      </w:r>
      <w:r>
        <w:rPr>
          <w:rFonts w:hint="eastAsia" w:ascii="仿宋_GB2312" w:hAnsi="仿宋_GB2312" w:eastAsia="仿宋_GB2312" w:cs="仿宋_GB2312"/>
          <w:color w:val="333333"/>
          <w:sz w:val="32"/>
          <w:szCs w:val="32"/>
          <w:shd w:val="clear" w:color="auto" w:fill="FFFFFF"/>
        </w:rPr>
        <w:t>，</w:t>
      </w:r>
      <w:r>
        <w:rPr>
          <w:rFonts w:hint="eastAsia" w:ascii="仿宋_GB2312" w:hAnsi="仿宋_GB2312" w:eastAsia="仿宋_GB2312" w:cs="仿宋_GB2312"/>
          <w:color w:val="333333"/>
          <w:sz w:val="32"/>
          <w:szCs w:val="32"/>
          <w:shd w:val="clear" w:color="auto" w:fill="FFFFFF"/>
          <w:lang w:val="en-US" w:eastAsia="zh-CN"/>
        </w:rPr>
        <w:t>总的来说基本支出预算和实际支出持平，但内部项目支出的结构在预算和实际支出方面有较大的差异，主要表现为：</w:t>
      </w:r>
      <w:r>
        <w:rPr>
          <w:rFonts w:hint="eastAsia" w:ascii="仿宋_GB2312" w:hAnsi="仿宋_GB2312" w:eastAsia="仿宋_GB2312" w:cs="仿宋_GB2312"/>
          <w:color w:val="333333"/>
          <w:sz w:val="32"/>
          <w:szCs w:val="32"/>
          <w:highlight w:val="none"/>
          <w:shd w:val="clear" w:color="auto" w:fill="FFFFFF"/>
          <w:lang w:val="en-US" w:eastAsia="zh-CN"/>
        </w:rPr>
        <w:t>工资福利支出超支179.54万元，</w:t>
      </w:r>
      <w:r>
        <w:rPr>
          <w:rFonts w:hint="eastAsia" w:ascii="仿宋_GB2312" w:hAnsi="仿宋_GB2312" w:eastAsia="仿宋_GB2312" w:cs="仿宋_GB2312"/>
          <w:color w:val="333333"/>
          <w:sz w:val="32"/>
          <w:szCs w:val="32"/>
          <w:highlight w:val="none"/>
          <w:shd w:val="clear" w:color="auto" w:fill="FFFFFF"/>
          <w:lang w:eastAsia="zh-CN"/>
        </w:rPr>
        <w:t>对个人和家庭的补助结余</w:t>
      </w:r>
      <w:r>
        <w:rPr>
          <w:rFonts w:hint="eastAsia" w:ascii="仿宋_GB2312" w:hAnsi="仿宋_GB2312" w:eastAsia="仿宋_GB2312" w:cs="仿宋_GB2312"/>
          <w:color w:val="333333"/>
          <w:sz w:val="32"/>
          <w:szCs w:val="32"/>
          <w:highlight w:val="none"/>
          <w:shd w:val="clear" w:color="auto" w:fill="FFFFFF"/>
          <w:lang w:val="en-US" w:eastAsia="zh-CN"/>
        </w:rPr>
        <w:t>129.712万元，其他支出超支109.678万元，商品和服务支出结余151.7174</w:t>
      </w:r>
      <w:r>
        <w:rPr>
          <w:rFonts w:hint="eastAsia" w:ascii="仿宋_GB2312" w:hAnsi="仿宋_GB2312" w:eastAsia="仿宋_GB2312" w:cs="仿宋_GB2312"/>
          <w:color w:val="333333"/>
          <w:sz w:val="32"/>
          <w:szCs w:val="32"/>
          <w:highlight w:val="none"/>
          <w:shd w:val="clear" w:color="auto" w:fill="FFFFFF"/>
        </w:rPr>
        <w:t>万元</w:t>
      </w:r>
      <w:r>
        <w:rPr>
          <w:rFonts w:hint="eastAsia" w:ascii="仿宋_GB2312" w:hAnsi="仿宋_GB2312" w:eastAsia="仿宋_GB2312" w:cs="仿宋_GB2312"/>
          <w:color w:val="333333"/>
          <w:sz w:val="32"/>
          <w:szCs w:val="32"/>
          <w:highlight w:val="none"/>
          <w:shd w:val="clear" w:color="auto" w:fill="FFFFFF"/>
          <w:lang w:eastAsia="zh-CN"/>
        </w:rPr>
        <w:t>，</w:t>
      </w:r>
      <w:r>
        <w:rPr>
          <w:rFonts w:hint="eastAsia" w:ascii="仿宋_GB2312" w:hAnsi="仿宋_GB2312" w:eastAsia="仿宋_GB2312" w:cs="仿宋_GB2312"/>
          <w:color w:val="333333"/>
          <w:sz w:val="32"/>
          <w:szCs w:val="32"/>
          <w:highlight w:val="none"/>
          <w:shd w:val="clear" w:color="auto" w:fill="FFFFFF"/>
          <w:lang w:val="en-US" w:eastAsia="zh-CN"/>
        </w:rPr>
        <w:t>其他资本性支出超支0.908万元。</w:t>
      </w:r>
    </w:p>
    <w:p>
      <w:pPr>
        <w:pageBreakBefore w:val="0"/>
        <w:kinsoku/>
        <w:wordWrap/>
        <w:overflowPunct/>
        <w:topLinePunct w:val="0"/>
        <w:autoSpaceDE/>
        <w:bidi w:val="0"/>
        <w:adjustRightInd/>
        <w:snapToGrid/>
        <w:spacing w:line="600" w:lineRule="exact"/>
        <w:ind w:left="0" w:leftChars="0" w:right="0" w:rightChars="0" w:firstLine="640" w:firstLineChars="200"/>
        <w:rPr>
          <w:rFonts w:hint="eastAsia" w:ascii="仿宋_GB2312" w:hAnsi="仿宋_GB2312" w:eastAsia="仿宋_GB2312" w:cs="仿宋_GB2312"/>
          <w:color w:val="333333"/>
          <w:sz w:val="32"/>
          <w:szCs w:val="32"/>
          <w:highlight w:val="none"/>
          <w:shd w:val="clear" w:color="auto" w:fill="FFFFFF"/>
          <w:lang w:val="en-US" w:eastAsia="zh-CN"/>
        </w:rPr>
      </w:pPr>
      <w:r>
        <w:rPr>
          <w:rFonts w:hint="eastAsia" w:ascii="仿宋_GB2312" w:hAnsi="仿宋_GB2312" w:eastAsia="仿宋_GB2312" w:cs="仿宋_GB2312"/>
          <w:color w:val="333333"/>
          <w:sz w:val="32"/>
          <w:szCs w:val="32"/>
          <w:highlight w:val="none"/>
          <w:shd w:val="clear" w:color="auto" w:fill="FFFFFF"/>
          <w:lang w:val="en-US" w:eastAsia="zh-CN"/>
        </w:rPr>
        <w:t>其中其他支出年初预算为0，实际支出109.678万元，支出明细：付门面装修及违约补偿款73.00万元，排污费（调账）26.482万元，其他项目支出10.196万元。</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bookmarkStart w:id="24" w:name="_Toc413785907"/>
      <w:r>
        <w:rPr>
          <w:rFonts w:hint="eastAsia" w:ascii="楷体_GB2312" w:hAnsi="楷体_GB2312" w:eastAsia="楷体_GB2312" w:cs="楷体_GB2312"/>
          <w:b/>
          <w:bCs/>
          <w:color w:val="333333"/>
          <w:sz w:val="32"/>
          <w:szCs w:val="32"/>
          <w:highlight w:val="none"/>
          <w:shd w:val="clear" w:color="auto" w:fill="FFFFFF"/>
          <w:lang w:eastAsia="zh-CN"/>
        </w:rPr>
        <w:t>（二）“三公经费”支出使用和管理情况</w:t>
      </w:r>
      <w:bookmarkEnd w:id="24"/>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lang w:eastAsia="zh-CN"/>
        </w:rPr>
        <w:t>县</w:t>
      </w:r>
      <w:r>
        <w:rPr>
          <w:rFonts w:hint="eastAsia" w:ascii="仿宋_GB2312" w:hAnsi="仿宋_GB2312" w:eastAsia="仿宋_GB2312" w:cs="仿宋_GB2312"/>
          <w:color w:val="333333"/>
          <w:sz w:val="32"/>
          <w:szCs w:val="32"/>
          <w:shd w:val="clear" w:color="auto" w:fill="FFFFFF"/>
        </w:rPr>
        <w:t>本级财政局“三公经费”总额本年预算和支出情况</w:t>
      </w:r>
    </w:p>
    <w:p>
      <w:pPr>
        <w:pageBreakBefore w:val="0"/>
        <w:kinsoku/>
        <w:wordWrap/>
        <w:overflowPunct/>
        <w:topLinePunct w:val="0"/>
        <w:autoSpaceDE/>
        <w:bidi w:val="0"/>
        <w:adjustRightInd/>
        <w:snapToGrid/>
        <w:spacing w:line="600" w:lineRule="exact"/>
        <w:ind w:right="0" w:rightChars="0"/>
        <w:jc w:val="center"/>
        <w:rPr>
          <w:rFonts w:hint="eastAsia" w:ascii="仿宋_GB2312" w:hAnsi="仿宋_GB2312" w:eastAsia="仿宋_GB2312" w:cs="仿宋_GB2312"/>
          <w:sz w:val="32"/>
          <w:szCs w:val="32"/>
        </w:rPr>
      </w:pPr>
      <w:r>
        <w:rPr>
          <w:rFonts w:hint="eastAsia" w:ascii="仿宋_GB2312" w:hAnsi="仿宋_GB2312" w:eastAsia="仿宋_GB2312" w:cs="仿宋_GB2312"/>
          <w:color w:val="333333"/>
          <w:sz w:val="32"/>
          <w:szCs w:val="32"/>
          <w:shd w:val="clear" w:color="auto" w:fill="FFFFFF"/>
        </w:rPr>
        <w:t xml:space="preserve">                                        单位：万元</w:t>
      </w:r>
    </w:p>
    <w:tbl>
      <w:tblPr>
        <w:tblStyle w:val="29"/>
        <w:tblW w:w="8979" w:type="dxa"/>
        <w:jc w:val="center"/>
        <w:tblInd w:w="545" w:type="dxa"/>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
      <w:tblGrid>
        <w:gridCol w:w="2333"/>
        <w:gridCol w:w="1707"/>
        <w:gridCol w:w="2657"/>
        <w:gridCol w:w="2282"/>
      </w:tblGrid>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vMerge w:val="restart"/>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费用项目</w:t>
            </w: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本年预算</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本年实际支出</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结余</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rPr>
              <w:t>/超支</w:t>
            </w:r>
            <w:r>
              <w:rPr>
                <w:rFonts w:hint="eastAsia" w:ascii="仿宋_GB2312" w:hAnsi="仿宋_GB2312" w:eastAsia="仿宋_GB2312" w:cs="仿宋_GB2312"/>
                <w:sz w:val="21"/>
                <w:szCs w:val="21"/>
                <w:lang w:eastAsia="zh-CN"/>
              </w:rPr>
              <w:t>（</w:t>
            </w:r>
            <w:r>
              <w:rPr>
                <w:rFonts w:hint="eastAsia" w:ascii="仿宋_GB2312" w:hAnsi="仿宋_GB2312" w:eastAsia="仿宋_GB2312" w:cs="仿宋_GB2312"/>
                <w:sz w:val="21"/>
                <w:szCs w:val="21"/>
                <w:lang w:val="en-US" w:eastAsia="zh-CN"/>
              </w:rPr>
              <w:t>-</w:t>
            </w:r>
            <w:r>
              <w:rPr>
                <w:rFonts w:hint="eastAsia" w:ascii="仿宋_GB2312" w:hAnsi="仿宋_GB2312" w:eastAsia="仿宋_GB2312" w:cs="仿宋_GB2312"/>
                <w:sz w:val="21"/>
                <w:szCs w:val="21"/>
                <w:lang w:eastAsia="zh-CN"/>
              </w:rPr>
              <w:t>）</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vMerge w:val="continue"/>
            <w:noWrap w:val="0"/>
            <w:vAlign w:val="center"/>
          </w:tcPr>
          <w:p>
            <w:pPr>
              <w:pageBreakBefore w:val="0"/>
              <w:kinsoku/>
              <w:wordWrap/>
              <w:overflowPunct/>
              <w:topLinePunct w:val="0"/>
              <w:autoSpaceDE/>
              <w:bidi w:val="0"/>
              <w:adjustRightInd/>
              <w:snapToGrid/>
              <w:spacing w:line="240" w:lineRule="auto"/>
              <w:ind w:left="0" w:leftChars="0" w:right="0" w:rightChars="0" w:firstLine="420" w:firstLineChars="200"/>
              <w:jc w:val="center"/>
              <w:rPr>
                <w:rFonts w:hint="eastAsia" w:ascii="仿宋_GB2312" w:hAnsi="仿宋_GB2312" w:eastAsia="仿宋_GB2312" w:cs="仿宋_GB2312"/>
                <w:sz w:val="21"/>
                <w:szCs w:val="21"/>
              </w:rPr>
            </w:pP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基本支出</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基本支出</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基本支出</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公务接待费</w:t>
            </w: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16</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25.934</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highlight w:val="none"/>
                <w:lang w:val="en-US" w:eastAsia="zh-CN"/>
              </w:rPr>
            </w:pPr>
            <w:r>
              <w:rPr>
                <w:rFonts w:hint="eastAsia" w:ascii="仿宋_GB2312" w:hAnsi="仿宋_GB2312" w:eastAsia="仿宋_GB2312" w:cs="仿宋_GB2312"/>
                <w:sz w:val="21"/>
                <w:szCs w:val="21"/>
                <w:highlight w:val="none"/>
                <w:lang w:val="en-US" w:eastAsia="zh-CN"/>
              </w:rPr>
              <w:t>-9.934</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公车运行维护费</w:t>
            </w: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3.5</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13.6364</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-10.1364</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因公出国费用</w:t>
            </w: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dotted" w:color="auto" w:sz="4" w:space="0"/>
            <w:insideV w:val="dotted" w:color="auto" w:sz="4" w:space="0"/>
          </w:tblBorders>
          <w:tblLayout w:type="fixed"/>
          <w:tblCellMar>
            <w:top w:w="0" w:type="dxa"/>
            <w:left w:w="108" w:type="dxa"/>
            <w:bottom w:w="0" w:type="dxa"/>
            <w:right w:w="108" w:type="dxa"/>
          </w:tblCellMar>
        </w:tblPrEx>
        <w:trPr>
          <w:trHeight w:val="325" w:hRule="atLeast"/>
          <w:jc w:val="center"/>
        </w:trPr>
        <w:tc>
          <w:tcPr>
            <w:tcW w:w="2333" w:type="dxa"/>
            <w:noWrap w:val="0"/>
            <w:vAlign w:val="center"/>
          </w:tcPr>
          <w:p>
            <w:pPr>
              <w:pageBreakBefore w:val="0"/>
              <w:kinsoku/>
              <w:wordWrap/>
              <w:overflowPunct/>
              <w:topLinePunct w:val="0"/>
              <w:autoSpaceDE/>
              <w:bidi w:val="0"/>
              <w:adjustRightInd/>
              <w:snapToGrid/>
              <w:spacing w:line="240" w:lineRule="auto"/>
              <w:ind w:right="0" w:rightChars="0"/>
              <w:jc w:val="center"/>
              <w:rPr>
                <w:rFonts w:hint="eastAsia" w:ascii="仿宋_GB2312" w:hAnsi="仿宋_GB2312" w:eastAsia="仿宋_GB2312" w:cs="仿宋_GB2312"/>
                <w:sz w:val="21"/>
                <w:szCs w:val="21"/>
              </w:rPr>
            </w:pPr>
            <w:r>
              <w:rPr>
                <w:rFonts w:hint="eastAsia" w:ascii="仿宋_GB2312" w:hAnsi="仿宋_GB2312" w:eastAsia="仿宋_GB2312" w:cs="仿宋_GB2312"/>
                <w:sz w:val="21"/>
                <w:szCs w:val="21"/>
              </w:rPr>
              <w:t>合计</w:t>
            </w:r>
          </w:p>
        </w:tc>
        <w:tc>
          <w:tcPr>
            <w:tcW w:w="170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19.5</w:t>
            </w:r>
          </w:p>
        </w:tc>
        <w:tc>
          <w:tcPr>
            <w:tcW w:w="2657"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39.5704</w:t>
            </w:r>
          </w:p>
        </w:tc>
        <w:tc>
          <w:tcPr>
            <w:tcW w:w="2282" w:type="dxa"/>
            <w:noWrap w:val="0"/>
            <w:vAlign w:val="center"/>
          </w:tcPr>
          <w:p>
            <w:pPr>
              <w:pageBreakBefore w:val="0"/>
              <w:kinsoku/>
              <w:wordWrap/>
              <w:overflowPunct/>
              <w:topLinePunct w:val="0"/>
              <w:autoSpaceDE/>
              <w:bidi w:val="0"/>
              <w:adjustRightInd/>
              <w:snapToGrid/>
              <w:spacing w:line="240" w:lineRule="auto"/>
              <w:ind w:left="0" w:leftChars="0" w:right="0" w:rightChars="0"/>
              <w:jc w:val="right"/>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t>-20.0704</w:t>
            </w:r>
          </w:p>
        </w:tc>
      </w:tr>
    </w:tbl>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rPr>
        <w:t>从</w:t>
      </w: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333333"/>
          <w:sz w:val="32"/>
          <w:szCs w:val="32"/>
          <w:shd w:val="clear" w:color="auto" w:fill="FFFFFF"/>
        </w:rPr>
        <w:t>提供的县财政预算批复资料来看，201</w:t>
      </w:r>
      <w:r>
        <w:rPr>
          <w:rFonts w:hint="eastAsia" w:ascii="仿宋_GB2312" w:hAnsi="仿宋_GB2312" w:eastAsia="仿宋_GB2312" w:cs="仿宋_GB2312"/>
          <w:color w:val="333333"/>
          <w:sz w:val="32"/>
          <w:szCs w:val="32"/>
          <w:shd w:val="clear" w:color="auto" w:fill="FFFFFF"/>
          <w:lang w:val="en-US" w:eastAsia="zh-CN"/>
        </w:rPr>
        <w:t>7</w:t>
      </w:r>
      <w:r>
        <w:rPr>
          <w:rFonts w:hint="eastAsia" w:ascii="仿宋_GB2312" w:hAnsi="仿宋_GB2312" w:eastAsia="仿宋_GB2312" w:cs="仿宋_GB2312"/>
          <w:color w:val="333333"/>
          <w:sz w:val="32"/>
          <w:szCs w:val="32"/>
          <w:shd w:val="clear" w:color="auto" w:fill="FFFFFF"/>
        </w:rPr>
        <w:t>年三公经费预算</w:t>
      </w:r>
      <w:r>
        <w:rPr>
          <w:rFonts w:hint="eastAsia" w:ascii="仿宋_GB2312" w:hAnsi="仿宋_GB2312" w:eastAsia="仿宋_GB2312" w:cs="仿宋_GB2312"/>
          <w:color w:val="333333"/>
          <w:sz w:val="32"/>
          <w:szCs w:val="32"/>
          <w:shd w:val="clear" w:color="auto" w:fill="FFFFFF"/>
          <w:lang w:eastAsia="zh-CN"/>
        </w:rPr>
        <w:t>金额</w:t>
      </w:r>
      <w:r>
        <w:rPr>
          <w:rFonts w:hint="eastAsia" w:ascii="仿宋_GB2312" w:hAnsi="仿宋_GB2312" w:eastAsia="仿宋_GB2312" w:cs="仿宋_GB2312"/>
          <w:color w:val="333333"/>
          <w:sz w:val="32"/>
          <w:szCs w:val="32"/>
          <w:shd w:val="clear" w:color="auto" w:fill="FFFFFF"/>
          <w:lang w:val="en-US" w:eastAsia="zh-CN"/>
        </w:rPr>
        <w:t>19.5</w:t>
      </w:r>
      <w:r>
        <w:rPr>
          <w:rFonts w:hint="eastAsia" w:ascii="仿宋_GB2312" w:hAnsi="仿宋_GB2312" w:eastAsia="仿宋_GB2312" w:cs="仿宋_GB2312"/>
          <w:color w:val="333333"/>
          <w:sz w:val="32"/>
          <w:szCs w:val="32"/>
          <w:shd w:val="clear" w:color="auto" w:fill="FFFFFF"/>
        </w:rPr>
        <w:t>万元，决算支出</w:t>
      </w:r>
      <w:r>
        <w:rPr>
          <w:rFonts w:hint="eastAsia" w:ascii="仿宋_GB2312" w:hAnsi="仿宋_GB2312" w:eastAsia="仿宋_GB2312" w:cs="仿宋_GB2312"/>
          <w:color w:val="333333"/>
          <w:sz w:val="32"/>
          <w:szCs w:val="32"/>
          <w:shd w:val="clear" w:color="auto" w:fill="FFFFFF"/>
          <w:lang w:val="en-US" w:eastAsia="zh-CN"/>
        </w:rPr>
        <w:t>39.5704</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val="en-US" w:eastAsia="zh-CN"/>
        </w:rPr>
        <w:t>超支20.0704</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eastAsia="zh-CN"/>
        </w:rPr>
        <w:t>。其中</w:t>
      </w:r>
      <w:r>
        <w:rPr>
          <w:rFonts w:hint="eastAsia" w:ascii="仿宋_GB2312" w:hAnsi="仿宋_GB2312" w:eastAsia="仿宋_GB2312" w:cs="仿宋_GB2312"/>
          <w:color w:val="333333"/>
          <w:sz w:val="32"/>
          <w:szCs w:val="32"/>
          <w:shd w:val="clear" w:color="auto" w:fill="FFFFFF"/>
        </w:rPr>
        <w:t>公务接待费支出</w:t>
      </w:r>
      <w:r>
        <w:rPr>
          <w:rFonts w:hint="eastAsia" w:ascii="仿宋_GB2312" w:hAnsi="仿宋_GB2312" w:eastAsia="仿宋_GB2312" w:cs="仿宋_GB2312"/>
          <w:color w:val="333333"/>
          <w:sz w:val="32"/>
          <w:szCs w:val="32"/>
          <w:shd w:val="clear" w:color="auto" w:fill="FFFFFF"/>
          <w:lang w:val="en-US" w:eastAsia="zh-CN"/>
        </w:rPr>
        <w:t>25.934</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eastAsia="zh-CN"/>
        </w:rPr>
        <w:t>占比</w:t>
      </w:r>
      <w:r>
        <w:rPr>
          <w:rFonts w:hint="eastAsia" w:ascii="仿宋_GB2312" w:hAnsi="仿宋_GB2312" w:eastAsia="仿宋_GB2312" w:cs="仿宋_GB2312"/>
          <w:color w:val="333333"/>
          <w:sz w:val="32"/>
          <w:szCs w:val="32"/>
          <w:shd w:val="clear" w:color="auto" w:fill="FFFFFF"/>
          <w:lang w:val="en-US" w:eastAsia="zh-CN"/>
        </w:rPr>
        <w:t>65.54%；</w:t>
      </w:r>
      <w:r>
        <w:rPr>
          <w:rFonts w:hint="eastAsia" w:ascii="仿宋_GB2312" w:hAnsi="仿宋_GB2312" w:eastAsia="仿宋_GB2312" w:cs="仿宋_GB2312"/>
          <w:color w:val="333333"/>
          <w:sz w:val="32"/>
          <w:szCs w:val="32"/>
          <w:shd w:val="clear" w:color="auto" w:fill="FFFFFF"/>
        </w:rPr>
        <w:t>公车运行维护费</w:t>
      </w:r>
      <w:r>
        <w:rPr>
          <w:rFonts w:hint="eastAsia" w:ascii="仿宋_GB2312" w:hAnsi="仿宋_GB2312" w:eastAsia="仿宋_GB2312" w:cs="仿宋_GB2312"/>
          <w:color w:val="333333"/>
          <w:sz w:val="32"/>
          <w:szCs w:val="32"/>
          <w:shd w:val="clear" w:color="auto" w:fill="FFFFFF"/>
          <w:lang w:eastAsia="zh-CN"/>
        </w:rPr>
        <w:t>支出</w:t>
      </w:r>
      <w:r>
        <w:rPr>
          <w:rFonts w:hint="eastAsia" w:ascii="仿宋_GB2312" w:hAnsi="仿宋_GB2312" w:eastAsia="仿宋_GB2312" w:cs="仿宋_GB2312"/>
          <w:color w:val="333333"/>
          <w:sz w:val="32"/>
          <w:szCs w:val="32"/>
          <w:shd w:val="clear" w:color="auto" w:fill="FFFFFF"/>
          <w:lang w:val="en-US" w:eastAsia="zh-CN"/>
        </w:rPr>
        <w:t>13.63635万元，占比34.46%。</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333333"/>
          <w:sz w:val="32"/>
          <w:szCs w:val="32"/>
          <w:shd w:val="clear" w:color="auto" w:fill="FFFFFF"/>
          <w:lang w:eastAsia="zh-CN"/>
        </w:rPr>
      </w:pPr>
      <w:r>
        <w:rPr>
          <w:rFonts w:hint="eastAsia" w:ascii="仿宋_GB2312" w:hAnsi="仿宋_GB2312" w:eastAsia="仿宋_GB2312" w:cs="仿宋_GB2312"/>
          <w:color w:val="333333"/>
          <w:sz w:val="32"/>
          <w:szCs w:val="32"/>
          <w:shd w:val="clear" w:color="auto" w:fill="FFFFFF"/>
        </w:rPr>
        <w:fldChar w:fldCharType="begin"/>
      </w:r>
      <w:r>
        <w:rPr>
          <w:rFonts w:hint="eastAsia" w:ascii="仿宋_GB2312" w:hAnsi="仿宋_GB2312" w:eastAsia="仿宋_GB2312" w:cs="仿宋_GB2312"/>
          <w:color w:val="333333"/>
          <w:sz w:val="32"/>
          <w:szCs w:val="32"/>
          <w:shd w:val="clear" w:color="auto" w:fill="FFFFFF"/>
        </w:rPr>
        <w:instrText xml:space="preserve"> = 1 \* GB3 \* MERGEFORMAT </w:instrText>
      </w:r>
      <w:r>
        <w:rPr>
          <w:rFonts w:hint="eastAsia" w:ascii="仿宋_GB2312" w:hAnsi="仿宋_GB2312" w:eastAsia="仿宋_GB2312" w:cs="仿宋_GB2312"/>
          <w:color w:val="333333"/>
          <w:sz w:val="32"/>
          <w:szCs w:val="32"/>
          <w:shd w:val="clear" w:color="auto" w:fill="FFFFFF"/>
        </w:rPr>
        <w:fldChar w:fldCharType="separate"/>
      </w:r>
      <w:r>
        <w:rPr>
          <w:rFonts w:hint="eastAsia" w:ascii="仿宋_GB2312" w:hAnsi="仿宋_GB2312" w:eastAsia="仿宋_GB2312" w:cs="仿宋_GB2312"/>
          <w:color w:val="333333"/>
          <w:sz w:val="32"/>
          <w:szCs w:val="32"/>
          <w:shd w:val="clear" w:color="auto" w:fill="FFFFFF"/>
        </w:rPr>
        <w:t>①</w:t>
      </w:r>
      <w:r>
        <w:rPr>
          <w:rFonts w:hint="eastAsia" w:ascii="仿宋_GB2312" w:hAnsi="仿宋_GB2312" w:eastAsia="仿宋_GB2312" w:cs="仿宋_GB2312"/>
          <w:color w:val="333333"/>
          <w:sz w:val="32"/>
          <w:szCs w:val="32"/>
          <w:shd w:val="clear" w:color="auto" w:fill="FFFFFF"/>
        </w:rPr>
        <w:fldChar w:fldCharType="end"/>
      </w:r>
      <w:r>
        <w:rPr>
          <w:rFonts w:hint="eastAsia" w:ascii="仿宋_GB2312" w:hAnsi="仿宋_GB2312" w:eastAsia="仿宋_GB2312" w:cs="仿宋_GB2312"/>
          <w:color w:val="333333"/>
          <w:sz w:val="32"/>
          <w:szCs w:val="32"/>
          <w:shd w:val="clear" w:color="auto" w:fill="FFFFFF"/>
        </w:rPr>
        <w:t>公务用车及运行维护费支出</w:t>
      </w:r>
      <w:r>
        <w:rPr>
          <w:rFonts w:hint="eastAsia" w:ascii="仿宋_GB2312" w:hAnsi="仿宋_GB2312" w:eastAsia="仿宋_GB2312" w:cs="仿宋_GB2312"/>
          <w:color w:val="333333"/>
          <w:sz w:val="32"/>
          <w:szCs w:val="32"/>
          <w:shd w:val="clear" w:color="auto" w:fill="FFFFFF"/>
          <w:lang w:val="en-US" w:eastAsia="zh-CN"/>
        </w:rPr>
        <w:t>13.6364</w:t>
      </w:r>
      <w:r>
        <w:rPr>
          <w:rFonts w:hint="eastAsia" w:ascii="仿宋_GB2312" w:hAnsi="仿宋_GB2312" w:eastAsia="仿宋_GB2312" w:cs="仿宋_GB2312"/>
          <w:color w:val="333333"/>
          <w:sz w:val="32"/>
          <w:szCs w:val="32"/>
          <w:shd w:val="clear" w:color="auto" w:fill="FFFFFF"/>
        </w:rPr>
        <w:t>万元，本年度预算数为3.5万元</w:t>
      </w:r>
      <w:r>
        <w:rPr>
          <w:rFonts w:hint="eastAsia" w:ascii="仿宋_GB2312" w:hAnsi="仿宋_GB2312" w:eastAsia="仿宋_GB2312" w:cs="仿宋_GB2312"/>
          <w:color w:val="333333"/>
          <w:sz w:val="32"/>
          <w:szCs w:val="32"/>
          <w:shd w:val="clear" w:color="auto" w:fill="FFFFFF"/>
          <w:lang w:eastAsia="zh-CN"/>
        </w:rPr>
        <w:t>，超支</w:t>
      </w:r>
      <w:r>
        <w:rPr>
          <w:rFonts w:hint="eastAsia" w:ascii="仿宋_GB2312" w:hAnsi="仿宋_GB2312" w:eastAsia="仿宋_GB2312" w:cs="仿宋_GB2312"/>
          <w:color w:val="333333"/>
          <w:sz w:val="32"/>
          <w:szCs w:val="32"/>
          <w:shd w:val="clear" w:color="auto" w:fill="FFFFFF"/>
          <w:lang w:val="en-US" w:eastAsia="zh-CN"/>
        </w:rPr>
        <w:t>10.1364</w:t>
      </w:r>
      <w:r>
        <w:rPr>
          <w:rFonts w:hint="eastAsia" w:ascii="仿宋_GB2312" w:hAnsi="仿宋_GB2312" w:eastAsia="仿宋_GB2312" w:cs="仿宋_GB2312"/>
          <w:color w:val="333333"/>
          <w:sz w:val="32"/>
          <w:szCs w:val="32"/>
          <w:shd w:val="clear" w:color="auto" w:fill="FFFFFF"/>
        </w:rPr>
        <w:t>万元。公务</w:t>
      </w:r>
      <w:r>
        <w:rPr>
          <w:rFonts w:hint="eastAsia" w:ascii="仿宋_GB2312" w:hAnsi="仿宋_GB2312" w:eastAsia="仿宋_GB2312" w:cs="仿宋_GB2312"/>
          <w:color w:val="333333"/>
          <w:sz w:val="32"/>
          <w:szCs w:val="32"/>
          <w:shd w:val="clear" w:color="auto" w:fill="FFFFFF"/>
          <w:lang w:eastAsia="zh-CN"/>
        </w:rPr>
        <w:t>用车</w:t>
      </w:r>
      <w:r>
        <w:rPr>
          <w:rFonts w:hint="eastAsia" w:ascii="仿宋_GB2312" w:hAnsi="仿宋_GB2312" w:eastAsia="仿宋_GB2312" w:cs="仿宋_GB2312"/>
          <w:color w:val="333333"/>
          <w:sz w:val="32"/>
          <w:szCs w:val="32"/>
          <w:shd w:val="clear" w:color="auto" w:fill="FFFFFF"/>
          <w:lang w:val="en-US" w:eastAsia="zh-CN"/>
        </w:rPr>
        <w:t>1</w:t>
      </w:r>
      <w:r>
        <w:rPr>
          <w:rFonts w:hint="eastAsia" w:ascii="仿宋_GB2312" w:hAnsi="仿宋_GB2312" w:eastAsia="仿宋_GB2312" w:cs="仿宋_GB2312"/>
          <w:color w:val="333333"/>
          <w:sz w:val="32"/>
          <w:szCs w:val="32"/>
          <w:shd w:val="clear" w:color="auto" w:fill="FFFFFF"/>
        </w:rPr>
        <w:t>台</w:t>
      </w:r>
      <w:r>
        <w:rPr>
          <w:rFonts w:hint="eastAsia" w:ascii="仿宋_GB2312" w:hAnsi="仿宋_GB2312" w:eastAsia="仿宋_GB2312" w:cs="仿宋_GB2312"/>
          <w:color w:val="333333"/>
          <w:sz w:val="32"/>
          <w:szCs w:val="32"/>
          <w:shd w:val="clear" w:color="auto" w:fill="FFFFFF"/>
          <w:lang w:eastAsia="zh-CN"/>
        </w:rPr>
        <w:t>（由县公车改制办统一管理）</w:t>
      </w:r>
      <w:r>
        <w:rPr>
          <w:rFonts w:hint="eastAsia" w:ascii="仿宋_GB2312" w:hAnsi="仿宋_GB2312" w:eastAsia="仿宋_GB2312" w:cs="仿宋_GB2312"/>
          <w:color w:val="333333"/>
          <w:sz w:val="32"/>
          <w:szCs w:val="32"/>
          <w:shd w:val="clear" w:color="auto" w:fill="FFFFFF"/>
        </w:rPr>
        <w:t xml:space="preserve">，全年维护运行费支出 </w:t>
      </w:r>
      <w:r>
        <w:rPr>
          <w:rFonts w:hint="eastAsia" w:ascii="仿宋_GB2312" w:hAnsi="仿宋_GB2312" w:eastAsia="仿宋_GB2312" w:cs="仿宋_GB2312"/>
          <w:color w:val="333333"/>
          <w:sz w:val="32"/>
          <w:szCs w:val="32"/>
          <w:shd w:val="clear" w:color="auto" w:fill="FFFFFF"/>
          <w:lang w:val="en-US" w:eastAsia="zh-CN"/>
        </w:rPr>
        <w:t>13.6364</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rPr>
        <w:t>包括</w:t>
      </w:r>
      <w:r>
        <w:rPr>
          <w:rFonts w:hint="eastAsia" w:ascii="仿宋_GB2312" w:hAnsi="仿宋_GB2312" w:eastAsia="仿宋_GB2312" w:cs="仿宋_GB2312"/>
          <w:color w:val="333333"/>
          <w:sz w:val="32"/>
          <w:szCs w:val="32"/>
          <w:shd w:val="clear" w:color="auto" w:fill="FFFFFF"/>
          <w:lang w:eastAsia="zh-CN"/>
        </w:rPr>
        <w:t>报销以前年度的维修费</w:t>
      </w:r>
      <w:r>
        <w:rPr>
          <w:rFonts w:hint="eastAsia" w:ascii="仿宋_GB2312" w:hAnsi="仿宋_GB2312" w:eastAsia="仿宋_GB2312" w:cs="仿宋_GB2312"/>
          <w:color w:val="333333"/>
          <w:sz w:val="32"/>
          <w:szCs w:val="32"/>
          <w:shd w:val="clear" w:color="auto" w:fill="FFFFFF"/>
          <w:lang w:val="en-US" w:eastAsia="zh-CN"/>
        </w:rPr>
        <w:t>9.8635</w:t>
      </w:r>
      <w:r>
        <w:rPr>
          <w:rFonts w:hint="eastAsia" w:ascii="仿宋_GB2312" w:hAnsi="仿宋_GB2312" w:eastAsia="仿宋_GB2312" w:cs="仿宋_GB2312"/>
          <w:color w:val="333333"/>
          <w:sz w:val="32"/>
          <w:szCs w:val="32"/>
          <w:shd w:val="clear" w:color="auto" w:fill="FFFFFF"/>
        </w:rPr>
        <w:t>万元和2017年</w:t>
      </w:r>
      <w:r>
        <w:rPr>
          <w:rFonts w:hint="eastAsia" w:ascii="仿宋_GB2312" w:hAnsi="仿宋_GB2312" w:eastAsia="仿宋_GB2312" w:cs="仿宋_GB2312"/>
          <w:color w:val="333333"/>
          <w:sz w:val="32"/>
          <w:szCs w:val="32"/>
          <w:shd w:val="clear" w:color="auto" w:fill="FFFFFF"/>
          <w:lang w:eastAsia="zh-CN"/>
        </w:rPr>
        <w:t>中央环保督查用车费用。</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eastAsia" w:ascii="仿宋_GB2312" w:hAnsi="仿宋_GB2312" w:eastAsia="仿宋_GB2312" w:cs="仿宋_GB2312"/>
          <w:color w:val="333333"/>
          <w:sz w:val="32"/>
          <w:szCs w:val="32"/>
          <w:shd w:val="clear" w:color="auto" w:fill="FFFFFF"/>
          <w:lang w:eastAsia="zh-CN"/>
        </w:rPr>
      </w:pPr>
      <w:r>
        <w:rPr>
          <w:rFonts w:hint="eastAsia" w:ascii="仿宋_GB2312" w:hAnsi="仿宋_GB2312" w:eastAsia="仿宋_GB2312" w:cs="仿宋_GB2312"/>
          <w:color w:val="333333"/>
          <w:sz w:val="32"/>
          <w:szCs w:val="32"/>
          <w:shd w:val="clear" w:color="auto" w:fill="FFFFFF"/>
          <w:lang w:eastAsia="zh-CN"/>
        </w:rPr>
        <w:fldChar w:fldCharType="begin"/>
      </w:r>
      <w:r>
        <w:rPr>
          <w:rFonts w:hint="eastAsia" w:ascii="仿宋_GB2312" w:hAnsi="仿宋_GB2312" w:eastAsia="仿宋_GB2312" w:cs="仿宋_GB2312"/>
          <w:color w:val="333333"/>
          <w:sz w:val="32"/>
          <w:szCs w:val="32"/>
          <w:shd w:val="clear" w:color="auto" w:fill="FFFFFF"/>
          <w:lang w:eastAsia="zh-CN"/>
        </w:rPr>
        <w:instrText xml:space="preserve"> = 2 \* GB3 \* MERGEFORMAT </w:instrText>
      </w:r>
      <w:r>
        <w:rPr>
          <w:rFonts w:hint="eastAsia" w:ascii="仿宋_GB2312" w:hAnsi="仿宋_GB2312" w:eastAsia="仿宋_GB2312" w:cs="仿宋_GB2312"/>
          <w:color w:val="333333"/>
          <w:sz w:val="32"/>
          <w:szCs w:val="32"/>
          <w:shd w:val="clear" w:color="auto" w:fill="FFFFFF"/>
          <w:lang w:eastAsia="zh-CN"/>
        </w:rPr>
        <w:fldChar w:fldCharType="separate"/>
      </w:r>
      <w:r>
        <w:rPr>
          <w:rFonts w:hint="eastAsia" w:ascii="仿宋_GB2312" w:hAnsi="仿宋_GB2312" w:eastAsia="仿宋_GB2312" w:cs="仿宋_GB2312"/>
          <w:color w:val="333333"/>
          <w:sz w:val="32"/>
          <w:szCs w:val="32"/>
          <w:shd w:val="clear" w:color="auto" w:fill="FFFFFF"/>
          <w:lang w:eastAsia="zh-CN"/>
        </w:rPr>
        <w:t>②</w:t>
      </w:r>
      <w:r>
        <w:rPr>
          <w:rFonts w:hint="eastAsia" w:ascii="仿宋_GB2312" w:hAnsi="仿宋_GB2312" w:eastAsia="仿宋_GB2312" w:cs="仿宋_GB2312"/>
          <w:color w:val="333333"/>
          <w:sz w:val="32"/>
          <w:szCs w:val="32"/>
          <w:shd w:val="clear" w:color="auto" w:fill="FFFFFF"/>
          <w:lang w:eastAsia="zh-CN"/>
        </w:rPr>
        <w:fldChar w:fldCharType="end"/>
      </w:r>
      <w:r>
        <w:rPr>
          <w:rFonts w:hint="eastAsia" w:ascii="仿宋_GB2312" w:hAnsi="仿宋_GB2312" w:eastAsia="仿宋_GB2312" w:cs="仿宋_GB2312"/>
          <w:color w:val="333333"/>
          <w:sz w:val="32"/>
          <w:szCs w:val="32"/>
          <w:shd w:val="clear" w:color="auto" w:fill="FFFFFF"/>
          <w:lang w:eastAsia="zh-CN"/>
        </w:rPr>
        <w:t>公务接待费支出</w:t>
      </w:r>
      <w:r>
        <w:rPr>
          <w:rFonts w:hint="eastAsia" w:ascii="仿宋_GB2312" w:hAnsi="仿宋_GB2312" w:eastAsia="仿宋_GB2312" w:cs="仿宋_GB2312"/>
          <w:color w:val="333333"/>
          <w:sz w:val="32"/>
          <w:szCs w:val="32"/>
          <w:shd w:val="clear" w:color="auto" w:fill="FFFFFF"/>
          <w:lang w:val="en-US" w:eastAsia="zh-CN"/>
        </w:rPr>
        <w:t>25.934</w:t>
      </w:r>
      <w:r>
        <w:rPr>
          <w:rFonts w:hint="eastAsia" w:ascii="仿宋_GB2312" w:hAnsi="仿宋_GB2312" w:eastAsia="仿宋_GB2312" w:cs="仿宋_GB2312"/>
          <w:color w:val="333333"/>
          <w:sz w:val="32"/>
          <w:szCs w:val="32"/>
          <w:shd w:val="clear" w:color="auto" w:fill="FFFFFF"/>
          <w:lang w:eastAsia="zh-CN"/>
        </w:rPr>
        <w:t>万元，本年度预算</w:t>
      </w:r>
      <w:r>
        <w:rPr>
          <w:rFonts w:hint="eastAsia" w:ascii="仿宋_GB2312" w:hAnsi="仿宋_GB2312" w:eastAsia="仿宋_GB2312" w:cs="仿宋_GB2312"/>
          <w:color w:val="333333"/>
          <w:sz w:val="32"/>
          <w:szCs w:val="32"/>
          <w:shd w:val="clear" w:color="auto" w:fill="FFFFFF"/>
        </w:rPr>
        <w:t>数为16万元</w:t>
      </w:r>
      <w:r>
        <w:rPr>
          <w:rFonts w:hint="eastAsia" w:ascii="仿宋_GB2312" w:hAnsi="仿宋_GB2312" w:eastAsia="仿宋_GB2312" w:cs="仿宋_GB2312"/>
          <w:color w:val="333333"/>
          <w:sz w:val="32"/>
          <w:szCs w:val="32"/>
          <w:shd w:val="clear" w:color="auto" w:fill="FFFFFF"/>
          <w:lang w:eastAsia="zh-CN"/>
        </w:rPr>
        <w:t>，超支9.934万元</w:t>
      </w:r>
      <w:r>
        <w:rPr>
          <w:rFonts w:hint="eastAsia" w:ascii="仿宋_GB2312" w:hAnsi="仿宋_GB2312" w:eastAsia="仿宋_GB2312" w:cs="仿宋_GB2312"/>
          <w:color w:val="333333"/>
          <w:sz w:val="32"/>
          <w:szCs w:val="32"/>
          <w:shd w:val="clear" w:color="auto" w:fill="FFFFFF"/>
        </w:rPr>
        <w:t>。</w:t>
      </w:r>
      <w:r>
        <w:rPr>
          <w:rFonts w:hint="eastAsia" w:ascii="仿宋_GB2312" w:hAnsi="仿宋_GB2312" w:eastAsia="仿宋_GB2312" w:cs="仿宋_GB2312"/>
          <w:color w:val="333333"/>
          <w:sz w:val="32"/>
          <w:szCs w:val="32"/>
          <w:shd w:val="clear" w:color="auto" w:fill="FFFFFF"/>
          <w:lang w:eastAsia="zh-CN"/>
        </w:rPr>
        <w:t>超支的原因主要为报销</w:t>
      </w:r>
      <w:r>
        <w:rPr>
          <w:rFonts w:hint="eastAsia" w:ascii="仿宋_GB2312" w:hAnsi="仿宋_GB2312" w:eastAsia="仿宋_GB2312" w:cs="仿宋_GB2312"/>
          <w:color w:val="333333"/>
          <w:sz w:val="32"/>
          <w:szCs w:val="32"/>
          <w:shd w:val="clear" w:color="auto" w:fill="FFFFFF"/>
          <w:lang w:val="en-US" w:eastAsia="zh-CN"/>
        </w:rPr>
        <w:t>2017年以前的公务接待费12.6707</w:t>
      </w:r>
      <w:r>
        <w:rPr>
          <w:rFonts w:hint="eastAsia" w:ascii="仿宋_GB2312" w:hAnsi="仿宋_GB2312" w:eastAsia="仿宋_GB2312" w:cs="仿宋_GB2312"/>
          <w:color w:val="333333"/>
          <w:sz w:val="32"/>
          <w:szCs w:val="32"/>
          <w:shd w:val="clear" w:color="auto" w:fill="FFFFFF"/>
        </w:rPr>
        <w:t>万元</w:t>
      </w:r>
      <w:r>
        <w:rPr>
          <w:rFonts w:hint="eastAsia" w:ascii="仿宋_GB2312" w:hAnsi="仿宋_GB2312" w:eastAsia="仿宋_GB2312" w:cs="仿宋_GB2312"/>
          <w:color w:val="333333"/>
          <w:sz w:val="32"/>
          <w:szCs w:val="32"/>
          <w:shd w:val="clear" w:color="auto" w:fill="FFFFFF"/>
          <w:lang w:eastAsia="zh-CN"/>
        </w:rPr>
        <w:t>。</w:t>
      </w:r>
    </w:p>
    <w:bookmarkEnd w:id="23"/>
    <w:p>
      <w:pPr>
        <w:pStyle w:val="2"/>
        <w:pageBreakBefore w:val="0"/>
        <w:numPr>
          <w:ilvl w:val="0"/>
          <w:numId w:val="0"/>
        </w:numPr>
        <w:kinsoku/>
        <w:wordWrap/>
        <w:overflowPunct/>
        <w:topLinePunct w:val="0"/>
        <w:autoSpaceDE/>
        <w:autoSpaceDN/>
        <w:bidi w:val="0"/>
        <w:adjustRightInd/>
        <w:snapToGrid/>
        <w:spacing w:before="0" w:after="0" w:line="600" w:lineRule="exact"/>
        <w:ind w:left="0" w:leftChars="0" w:right="0" w:rightChars="0" w:firstLine="640" w:firstLineChars="200"/>
        <w:textAlignment w:val="auto"/>
        <w:rPr>
          <w:rFonts w:hint="eastAsia" w:ascii="黑体" w:hAnsi="黑体" w:eastAsia="黑体" w:cs="黑体"/>
          <w:b w:val="0"/>
          <w:bCs w:val="0"/>
          <w:sz w:val="32"/>
          <w:szCs w:val="32"/>
          <w:lang w:eastAsia="zh-CN"/>
        </w:rPr>
      </w:pPr>
      <w:bookmarkStart w:id="25" w:name="_Toc413785910"/>
      <w:r>
        <w:rPr>
          <w:rFonts w:hint="eastAsia" w:ascii="黑体" w:hAnsi="黑体" w:eastAsia="黑体" w:cs="黑体"/>
          <w:b w:val="0"/>
          <w:bCs w:val="0"/>
          <w:sz w:val="32"/>
          <w:szCs w:val="32"/>
          <w:lang w:eastAsia="zh-CN"/>
        </w:rPr>
        <w:t>四、部门整体支出绩效情况</w:t>
      </w:r>
      <w:bookmarkEnd w:id="25"/>
    </w:p>
    <w:p>
      <w:pPr>
        <w:pageBreakBefore w:val="0"/>
        <w:widowControl w:val="0"/>
        <w:kinsoku/>
        <w:wordWrap/>
        <w:overflowPunct/>
        <w:topLinePunct w:val="0"/>
        <w:autoSpaceDE/>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通过前面对整体支出情况的概述和实际支出情况的分析，</w:t>
      </w: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333333"/>
          <w:sz w:val="32"/>
          <w:szCs w:val="32"/>
          <w:shd w:val="clear" w:color="auto" w:fill="FFFFFF"/>
        </w:rPr>
        <w:t>整体支出绩效目标管理情况评价如下：</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bookmarkStart w:id="26" w:name="_Toc413785911"/>
      <w:r>
        <w:rPr>
          <w:rFonts w:hint="eastAsia" w:ascii="楷体_GB2312" w:hAnsi="楷体_GB2312" w:eastAsia="楷体_GB2312" w:cs="楷体_GB2312"/>
          <w:b/>
          <w:bCs/>
          <w:color w:val="333333"/>
          <w:sz w:val="32"/>
          <w:szCs w:val="32"/>
          <w:highlight w:val="none"/>
          <w:shd w:val="clear" w:color="auto" w:fill="FFFFFF"/>
          <w:lang w:eastAsia="zh-CN"/>
        </w:rPr>
        <w:t>（一）经济性评价</w:t>
      </w:r>
      <w:bookmarkEnd w:id="26"/>
    </w:p>
    <w:p>
      <w:pPr>
        <w:pageBreakBefore w:val="0"/>
        <w:widowControl w:val="0"/>
        <w:kinsoku/>
        <w:wordWrap/>
        <w:overflowPunct/>
        <w:topLinePunct w:val="0"/>
        <w:autoSpaceDE/>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201</w:t>
      </w:r>
      <w:r>
        <w:rPr>
          <w:rFonts w:hint="eastAsia" w:ascii="仿宋_GB2312" w:hAnsi="仿宋_GB2312" w:eastAsia="仿宋_GB2312" w:cs="仿宋_GB2312"/>
          <w:color w:val="333333"/>
          <w:sz w:val="32"/>
          <w:szCs w:val="32"/>
          <w:shd w:val="clear" w:color="auto" w:fill="FFFFFF"/>
          <w:lang w:val="en-US" w:eastAsia="zh-CN"/>
        </w:rPr>
        <w:t>7</w:t>
      </w:r>
      <w:r>
        <w:rPr>
          <w:rFonts w:hint="eastAsia" w:ascii="仿宋_GB2312" w:hAnsi="仿宋_GB2312" w:eastAsia="仿宋_GB2312" w:cs="仿宋_GB2312"/>
          <w:color w:val="333333"/>
          <w:sz w:val="32"/>
          <w:szCs w:val="32"/>
          <w:shd w:val="clear" w:color="auto" w:fill="FFFFFF"/>
        </w:rPr>
        <w:t>年预算配置：财政供养人员控制在预算编制以内，在职人员控制率小于</w:t>
      </w:r>
      <w:r>
        <w:rPr>
          <w:rFonts w:hint="eastAsia" w:ascii="仿宋_GB2312" w:hAnsi="仿宋_GB2312" w:eastAsia="仿宋_GB2312" w:cs="仿宋_GB2312"/>
          <w:color w:val="333333"/>
          <w:sz w:val="32"/>
          <w:szCs w:val="32"/>
          <w:shd w:val="clear" w:color="auto" w:fill="FFFFFF"/>
          <w:lang w:eastAsia="zh-CN"/>
        </w:rPr>
        <w:t>等于</w:t>
      </w:r>
      <w:r>
        <w:rPr>
          <w:rFonts w:hint="eastAsia" w:ascii="仿宋_GB2312" w:hAnsi="仿宋_GB2312" w:eastAsia="仿宋_GB2312" w:cs="仿宋_GB2312"/>
          <w:color w:val="333333"/>
          <w:sz w:val="32"/>
          <w:szCs w:val="32"/>
          <w:shd w:val="clear" w:color="auto" w:fill="FFFFFF"/>
        </w:rPr>
        <w:t>100%；三公经费预算总额较上年</w:t>
      </w:r>
      <w:r>
        <w:rPr>
          <w:rFonts w:hint="eastAsia" w:ascii="仿宋_GB2312" w:hAnsi="仿宋_GB2312" w:eastAsia="仿宋_GB2312" w:cs="仿宋_GB2312"/>
          <w:color w:val="333333"/>
          <w:sz w:val="32"/>
          <w:szCs w:val="32"/>
          <w:shd w:val="clear" w:color="auto" w:fill="FFFFFF"/>
          <w:lang w:val="en-US" w:eastAsia="zh-CN"/>
        </w:rPr>
        <w:t>有</w:t>
      </w:r>
      <w:r>
        <w:rPr>
          <w:rFonts w:hint="eastAsia" w:ascii="仿宋_GB2312" w:hAnsi="仿宋_GB2312" w:eastAsia="仿宋_GB2312" w:cs="仿宋_GB2312"/>
          <w:color w:val="333333"/>
          <w:sz w:val="32"/>
          <w:szCs w:val="32"/>
          <w:shd w:val="clear" w:color="auto" w:fill="FFFFFF"/>
        </w:rPr>
        <w:t>增加，</w:t>
      </w:r>
      <w:r>
        <w:rPr>
          <w:rFonts w:hint="eastAsia" w:ascii="仿宋_GB2312" w:hAnsi="仿宋_GB2312" w:eastAsia="仿宋_GB2312" w:cs="仿宋_GB2312"/>
          <w:color w:val="333333"/>
          <w:sz w:val="32"/>
          <w:szCs w:val="32"/>
          <w:shd w:val="clear" w:color="auto" w:fill="FFFFFF"/>
          <w:lang w:val="en-US" w:eastAsia="zh-CN"/>
        </w:rPr>
        <w:t>主要是因为以前的老账报销，</w:t>
      </w:r>
      <w:r>
        <w:rPr>
          <w:rFonts w:hint="eastAsia" w:ascii="仿宋_GB2312" w:hAnsi="仿宋_GB2312" w:eastAsia="仿宋_GB2312" w:cs="仿宋_GB2312"/>
          <w:color w:val="333333"/>
          <w:sz w:val="32"/>
          <w:szCs w:val="32"/>
          <w:shd w:val="clear" w:color="auto" w:fill="FFFFFF"/>
        </w:rPr>
        <w:t>根据湘财预</w:t>
      </w:r>
      <w:r>
        <w:rPr>
          <w:rFonts w:hint="eastAsia" w:ascii="仿宋_GB2312" w:hAnsi="仿宋_GB2312" w:eastAsia="仿宋_GB2312" w:cs="仿宋_GB2312"/>
          <w:color w:val="333333"/>
          <w:sz w:val="32"/>
          <w:szCs w:val="32"/>
          <w:shd w:val="clear" w:color="auto" w:fill="FFFFFF"/>
          <w:lang w:val="en-US" w:eastAsia="zh-CN"/>
        </w:rPr>
        <w:t>[</w:t>
      </w:r>
      <w:r>
        <w:rPr>
          <w:rFonts w:hint="eastAsia" w:ascii="仿宋_GB2312" w:hAnsi="仿宋_GB2312" w:eastAsia="仿宋_GB2312" w:cs="仿宋_GB2312"/>
          <w:color w:val="333333"/>
          <w:sz w:val="32"/>
          <w:szCs w:val="32"/>
          <w:shd w:val="clear" w:color="auto" w:fill="FFFFFF"/>
        </w:rPr>
        <w:t>2013</w:t>
      </w:r>
      <w:r>
        <w:rPr>
          <w:rFonts w:hint="eastAsia" w:ascii="仿宋_GB2312" w:hAnsi="仿宋_GB2312" w:eastAsia="仿宋_GB2312" w:cs="仿宋_GB2312"/>
          <w:color w:val="333333"/>
          <w:sz w:val="32"/>
          <w:szCs w:val="32"/>
          <w:shd w:val="clear" w:color="auto" w:fill="FFFFFF"/>
          <w:lang w:val="en-US" w:eastAsia="zh-CN"/>
        </w:rPr>
        <w:t>]</w:t>
      </w:r>
      <w:r>
        <w:rPr>
          <w:rFonts w:hint="eastAsia" w:ascii="仿宋_GB2312" w:hAnsi="仿宋_GB2312" w:eastAsia="仿宋_GB2312" w:cs="仿宋_GB2312"/>
          <w:color w:val="333333"/>
          <w:sz w:val="32"/>
          <w:szCs w:val="32"/>
          <w:shd w:val="clear" w:color="auto" w:fill="FFFFFF"/>
        </w:rPr>
        <w:t>46号关于严控“三公经费”预算管理的通知，未来5年内，各部门“三公经费”预算原则上不再增加，因此三公经费的预算编制需从严控制。</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r>
        <w:rPr>
          <w:rFonts w:hint="eastAsia" w:ascii="楷体_GB2312" w:hAnsi="楷体_GB2312" w:eastAsia="楷体_GB2312" w:cs="楷体_GB2312"/>
          <w:b/>
          <w:bCs/>
          <w:color w:val="333333"/>
          <w:sz w:val="32"/>
          <w:szCs w:val="32"/>
          <w:highlight w:val="none"/>
          <w:shd w:val="clear" w:color="auto" w:fill="FFFFFF"/>
          <w:lang w:eastAsia="zh-CN"/>
        </w:rPr>
        <w:t>（二）效率性评价和有效性评价</w:t>
      </w:r>
    </w:p>
    <w:p>
      <w:pPr>
        <w:pageBreakBefore w:val="0"/>
        <w:kinsoku/>
        <w:wordWrap/>
        <w:overflowPunct/>
        <w:topLinePunct w:val="0"/>
        <w:autoSpaceDE/>
        <w:bidi w:val="0"/>
        <w:adjustRightInd/>
        <w:snapToGrid/>
        <w:spacing w:line="600" w:lineRule="exact"/>
        <w:ind w:firstLine="640" w:firstLineChars="200"/>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lang w:val="en-US" w:eastAsia="zh-CN"/>
        </w:rPr>
        <w:t>2017年东安县环境保护局各方面工作都完成得较好，主要表现在：</w:t>
      </w:r>
      <w:bookmarkStart w:id="27" w:name="_Toc413785913"/>
    </w:p>
    <w:p>
      <w:pPr>
        <w:pageBreakBefore w:val="0"/>
        <w:kinsoku/>
        <w:wordWrap/>
        <w:overflowPunct/>
        <w:topLinePunct w:val="0"/>
        <w:autoSpaceDE/>
        <w:bidi w:val="0"/>
        <w:adjustRightInd/>
        <w:snapToGrid/>
        <w:spacing w:line="6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color w:val="333333"/>
          <w:sz w:val="32"/>
          <w:szCs w:val="32"/>
          <w:shd w:val="clear" w:color="auto" w:fill="FFFFFF"/>
          <w:lang w:val="en-US" w:eastAsia="zh-CN"/>
        </w:rPr>
        <w:t>1、</w:t>
      </w:r>
      <w:r>
        <w:rPr>
          <w:rFonts w:hint="eastAsia" w:ascii="仿宋_GB2312" w:hAnsi="仿宋_GB2312" w:eastAsia="仿宋_GB2312" w:cs="仿宋_GB2312"/>
          <w:sz w:val="32"/>
          <w:szCs w:val="32"/>
        </w:rPr>
        <w:t>2017年，</w:t>
      </w:r>
      <w:r>
        <w:rPr>
          <w:rFonts w:hint="eastAsia" w:ascii="仿宋_GB2312" w:hAnsi="仿宋_GB2312" w:eastAsia="仿宋_GB2312" w:cs="仿宋_GB2312"/>
          <w:color w:val="000000"/>
          <w:sz w:val="32"/>
          <w:szCs w:val="32"/>
          <w:shd w:val="clear" w:color="auto" w:fill="FFFFFF"/>
        </w:rPr>
        <w:t>在县委、县政府的正确领导下，在省、市环保部门的直接指导下，</w:t>
      </w:r>
      <w:r>
        <w:rPr>
          <w:rFonts w:hint="eastAsia" w:ascii="仿宋_GB2312" w:hAnsi="仿宋_GB2312" w:eastAsia="仿宋_GB2312" w:cs="仿宋_GB2312"/>
          <w:sz w:val="32"/>
          <w:szCs w:val="32"/>
        </w:rPr>
        <w:t>牢固树立“绿水青山就是金山银山”的发展理念，</w:t>
      </w:r>
      <w:r>
        <w:rPr>
          <w:rFonts w:hint="eastAsia" w:ascii="仿宋_GB2312" w:hAnsi="仿宋_GB2312" w:eastAsia="仿宋_GB2312" w:cs="仿宋_GB2312"/>
          <w:color w:val="000000"/>
          <w:sz w:val="32"/>
          <w:szCs w:val="32"/>
        </w:rPr>
        <w:t>以改善环境质量为核心，以中央环保督察为主线，以解决环境突出问题为重点，</w:t>
      </w:r>
      <w:r>
        <w:rPr>
          <w:rFonts w:hint="eastAsia" w:ascii="仿宋_GB2312" w:hAnsi="仿宋_GB2312" w:eastAsia="仿宋_GB2312" w:cs="仿宋_GB2312"/>
          <w:color w:val="000000"/>
          <w:sz w:val="32"/>
          <w:szCs w:val="32"/>
          <w:shd w:val="clear" w:color="auto" w:fill="FFFFFF"/>
        </w:rPr>
        <w:t>奏响了生态文明强音。</w:t>
      </w:r>
      <w:r>
        <w:rPr>
          <w:rFonts w:hint="eastAsia" w:ascii="仿宋_GB2312" w:hAnsi="仿宋_GB2312" w:eastAsia="仿宋_GB2312" w:cs="仿宋_GB2312"/>
          <w:bCs/>
          <w:sz w:val="32"/>
          <w:szCs w:val="32"/>
        </w:rPr>
        <w:t>空气质量优良333天，同比增加9天，优良率91.2%，全市排名第一；湘江流域出境断面水质均达到Ⅱ类标准；</w:t>
      </w:r>
    </w:p>
    <w:p>
      <w:pPr>
        <w:pageBreakBefore w:val="0"/>
        <w:kinsoku/>
        <w:wordWrap/>
        <w:overflowPunct/>
        <w:topLinePunct w:val="0"/>
        <w:autoSpaceDE/>
        <w:bidi w:val="0"/>
        <w:adjustRightInd/>
        <w:snapToGrid/>
        <w:spacing w:line="6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2、2017年3月被市政府评为“大气污染防治工作优秀单位”；</w:t>
      </w:r>
    </w:p>
    <w:p>
      <w:pPr>
        <w:pageBreakBefore w:val="0"/>
        <w:kinsoku/>
        <w:wordWrap/>
        <w:overflowPunct/>
        <w:topLinePunct w:val="0"/>
        <w:autoSpaceDE/>
        <w:bidi w:val="0"/>
        <w:adjustRightInd/>
        <w:snapToGrid/>
        <w:spacing w:line="6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lang w:val="en-US" w:eastAsia="zh-CN"/>
        </w:rPr>
        <w:t>3、</w:t>
      </w:r>
      <w:r>
        <w:rPr>
          <w:rFonts w:hint="eastAsia" w:ascii="仿宋_GB2312" w:hAnsi="仿宋_GB2312" w:eastAsia="仿宋_GB2312" w:cs="仿宋_GB2312"/>
          <w:bCs/>
          <w:sz w:val="32"/>
          <w:szCs w:val="32"/>
        </w:rPr>
        <w:t>环保监察执法工作位列全省第一，2017年6月被评为“省打击环境污染违法犯罪先进集体”，7月被评为“省环境执法大练兵县级表现突出集体”,陈中华同志被推报为“全国执法大练兵先进个人”；</w:t>
      </w:r>
    </w:p>
    <w:p>
      <w:pPr>
        <w:pageBreakBefore w:val="0"/>
        <w:kinsoku/>
        <w:wordWrap/>
        <w:overflowPunct/>
        <w:topLinePunct w:val="0"/>
        <w:autoSpaceDE/>
        <w:bidi w:val="0"/>
        <w:adjustRightInd/>
        <w:snapToGrid/>
        <w:spacing w:line="600" w:lineRule="exact"/>
        <w:ind w:firstLine="640" w:firstLineChars="200"/>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4、2017年10月荣获“省环境执法大练兵案卷评查县级二等奖”;</w:t>
      </w:r>
    </w:p>
    <w:p>
      <w:pPr>
        <w:pageBreakBefore w:val="0"/>
        <w:widowControl w:val="0"/>
        <w:kinsoku/>
        <w:wordWrap/>
        <w:overflowPunct/>
        <w:topLinePunct w:val="0"/>
        <w:autoSpaceDE/>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bCs/>
          <w:sz w:val="32"/>
          <w:szCs w:val="32"/>
        </w:rPr>
        <w:t>5、2017年11月荣获“市环境监测分析技能竞赛团体三等奖”，段竹园同志荣获个人“一等奖”，被授予“永州市</w:t>
      </w:r>
      <w:r>
        <w:rPr>
          <w:rFonts w:hint="eastAsia" w:ascii="仿宋_GB2312" w:hAnsi="仿宋_GB2312" w:eastAsia="仿宋_GB2312" w:cs="仿宋_GB2312"/>
          <w:color w:val="333333"/>
          <w:sz w:val="32"/>
          <w:szCs w:val="32"/>
          <w:shd w:val="clear" w:color="auto" w:fill="FFFFFF"/>
        </w:rPr>
        <w:t>五一劳动奖章”、“永州市技术能手”荣誉称号;</w:t>
      </w:r>
    </w:p>
    <w:p>
      <w:pPr>
        <w:pageBreakBefore w:val="0"/>
        <w:widowControl w:val="0"/>
        <w:kinsoku/>
        <w:wordWrap/>
        <w:overflowPunct/>
        <w:topLinePunct w:val="0"/>
        <w:autoSpaceDE/>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lang w:eastAsia="zh-CN"/>
        </w:rPr>
      </w:pPr>
      <w:r>
        <w:rPr>
          <w:rFonts w:hint="eastAsia" w:ascii="仿宋_GB2312" w:hAnsi="仿宋_GB2312" w:eastAsia="仿宋_GB2312" w:cs="仿宋_GB2312"/>
          <w:color w:val="333333"/>
          <w:sz w:val="32"/>
          <w:szCs w:val="32"/>
          <w:shd w:val="clear" w:color="auto" w:fill="FFFFFF"/>
        </w:rPr>
        <w:t>6、2016/2017连续两年被评为“全省环保工作先进县区”。</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r>
        <w:rPr>
          <w:rFonts w:hint="eastAsia" w:ascii="楷体_GB2312" w:hAnsi="楷体_GB2312" w:eastAsia="楷体_GB2312" w:cs="楷体_GB2312"/>
          <w:b/>
          <w:bCs/>
          <w:color w:val="333333"/>
          <w:sz w:val="32"/>
          <w:szCs w:val="32"/>
          <w:highlight w:val="none"/>
          <w:shd w:val="clear" w:color="auto" w:fill="FFFFFF"/>
          <w:lang w:eastAsia="zh-CN"/>
        </w:rPr>
        <w:t>（三）社会公众满意度评价</w:t>
      </w:r>
      <w:bookmarkEnd w:id="27"/>
    </w:p>
    <w:p>
      <w:pPr>
        <w:pageBreakBefore w:val="0"/>
        <w:widowControl w:val="0"/>
        <w:kinsoku/>
        <w:wordWrap/>
        <w:overflowPunct/>
        <w:topLinePunct w:val="0"/>
        <w:autoSpaceDE/>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000000"/>
          <w:kern w:val="0"/>
          <w:sz w:val="32"/>
          <w:szCs w:val="32"/>
          <w:lang w:eastAsia="zh-CN" w:bidi="ar-SA"/>
        </w:rPr>
      </w:pPr>
      <w:r>
        <w:rPr>
          <w:rFonts w:hint="eastAsia" w:ascii="仿宋_GB2312" w:hAnsi="仿宋_GB2312" w:eastAsia="仿宋_GB2312" w:cs="仿宋_GB2312"/>
          <w:color w:val="333333"/>
          <w:sz w:val="32"/>
          <w:szCs w:val="32"/>
          <w:shd w:val="clear" w:color="auto" w:fill="FFFFFF"/>
          <w:lang w:eastAsia="zh-CN"/>
        </w:rPr>
        <w:t>201</w:t>
      </w:r>
      <w:r>
        <w:rPr>
          <w:rFonts w:hint="eastAsia" w:ascii="仿宋_GB2312" w:hAnsi="仿宋_GB2312" w:eastAsia="仿宋_GB2312" w:cs="仿宋_GB2312"/>
          <w:color w:val="333333"/>
          <w:sz w:val="32"/>
          <w:szCs w:val="32"/>
          <w:shd w:val="clear" w:color="auto" w:fill="FFFFFF"/>
          <w:lang w:val="en-US" w:eastAsia="zh-CN"/>
        </w:rPr>
        <w:t>7</w:t>
      </w:r>
      <w:r>
        <w:rPr>
          <w:rFonts w:hint="eastAsia" w:ascii="仿宋_GB2312" w:hAnsi="仿宋_GB2312" w:eastAsia="仿宋_GB2312" w:cs="仿宋_GB2312"/>
          <w:color w:val="333333"/>
          <w:sz w:val="32"/>
          <w:szCs w:val="32"/>
          <w:shd w:val="clear" w:color="auto" w:fill="FFFFFF"/>
          <w:lang w:eastAsia="zh-CN"/>
        </w:rPr>
        <w:t>年，全体干部职工在县委、县政府的正确领导下，克服人手短缺、经</w:t>
      </w:r>
      <w:r>
        <w:rPr>
          <w:rFonts w:hint="eastAsia" w:ascii="仿宋_GB2312" w:hAnsi="仿宋_GB2312" w:eastAsia="仿宋_GB2312" w:cs="仿宋_GB2312"/>
          <w:color w:val="000000"/>
          <w:kern w:val="0"/>
          <w:sz w:val="32"/>
          <w:szCs w:val="32"/>
          <w:lang w:eastAsia="zh-CN" w:bidi="ar-SA"/>
        </w:rPr>
        <w:t>验不足等种种困难，积极做好县台办财务管理工作，保证了财政资金的安全，获得了县财政局预算股和国库股的一致好评。在201</w:t>
      </w:r>
      <w:r>
        <w:rPr>
          <w:rFonts w:hint="eastAsia" w:ascii="仿宋_GB2312" w:hAnsi="仿宋_GB2312" w:eastAsia="仿宋_GB2312" w:cs="仿宋_GB2312"/>
          <w:color w:val="000000"/>
          <w:kern w:val="0"/>
          <w:sz w:val="32"/>
          <w:szCs w:val="32"/>
          <w:lang w:val="en-US" w:eastAsia="zh-CN" w:bidi="ar-SA"/>
        </w:rPr>
        <w:t>7</w:t>
      </w:r>
      <w:r>
        <w:rPr>
          <w:rFonts w:hint="eastAsia" w:ascii="仿宋_GB2312" w:hAnsi="仿宋_GB2312" w:eastAsia="仿宋_GB2312" w:cs="仿宋_GB2312"/>
          <w:color w:val="000000"/>
          <w:kern w:val="0"/>
          <w:sz w:val="32"/>
          <w:szCs w:val="32"/>
          <w:lang w:eastAsia="zh-CN" w:bidi="ar-SA"/>
        </w:rPr>
        <w:t>年民主测评中，满意度为100%。</w:t>
      </w:r>
    </w:p>
    <w:p>
      <w:pPr>
        <w:pageBreakBefore w:val="0"/>
        <w:kinsoku/>
        <w:wordWrap/>
        <w:overflowPunct/>
        <w:topLinePunct w:val="0"/>
        <w:autoSpaceDE/>
        <w:autoSpaceDN w:val="0"/>
        <w:bidi w:val="0"/>
        <w:adjustRightInd/>
        <w:snapToGrid/>
        <w:spacing w:line="600" w:lineRule="exact"/>
        <w:ind w:firstLine="480" w:firstLineChars="150"/>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综上述，通过逐项打分（详见“东安县环保局部门整体支出绩效评价指标表”）得</w:t>
      </w:r>
      <w:r>
        <w:rPr>
          <w:rFonts w:hint="eastAsia" w:ascii="仿宋_GB2312" w:hAnsi="仿宋_GB2312" w:eastAsia="仿宋_GB2312" w:cs="仿宋_GB2312"/>
          <w:color w:val="333333"/>
          <w:sz w:val="32"/>
          <w:szCs w:val="32"/>
          <w:highlight w:val="none"/>
          <w:shd w:val="clear" w:color="auto" w:fill="FFFFFF"/>
        </w:rPr>
        <w:t>分为</w:t>
      </w:r>
      <w:r>
        <w:rPr>
          <w:rFonts w:hint="eastAsia" w:ascii="仿宋_GB2312" w:hAnsi="仿宋_GB2312" w:eastAsia="仿宋_GB2312" w:cs="仿宋_GB2312"/>
          <w:color w:val="333333"/>
          <w:sz w:val="32"/>
          <w:szCs w:val="32"/>
          <w:highlight w:val="none"/>
          <w:shd w:val="clear" w:color="auto" w:fill="FFFFFF"/>
          <w:lang w:val="en-US" w:eastAsia="zh-CN"/>
        </w:rPr>
        <w:t>89</w:t>
      </w:r>
      <w:r>
        <w:rPr>
          <w:rFonts w:hint="eastAsia" w:ascii="仿宋_GB2312" w:hAnsi="仿宋_GB2312" w:eastAsia="仿宋_GB2312" w:cs="仿宋_GB2312"/>
          <w:color w:val="333333"/>
          <w:sz w:val="32"/>
          <w:szCs w:val="32"/>
          <w:highlight w:val="none"/>
          <w:shd w:val="clear" w:color="auto" w:fill="FFFFFF"/>
        </w:rPr>
        <w:t>分，评价等级为</w:t>
      </w:r>
      <w:r>
        <w:rPr>
          <w:rFonts w:hint="eastAsia" w:ascii="仿宋_GB2312" w:hAnsi="仿宋_GB2312" w:eastAsia="仿宋_GB2312" w:cs="仿宋_GB2312"/>
          <w:color w:val="333333"/>
          <w:sz w:val="32"/>
          <w:szCs w:val="32"/>
          <w:shd w:val="clear" w:color="auto" w:fill="FFFFFF"/>
        </w:rPr>
        <w:t>“</w:t>
      </w:r>
      <w:r>
        <w:rPr>
          <w:rFonts w:hint="eastAsia" w:ascii="仿宋_GB2312" w:hAnsi="仿宋_GB2312" w:eastAsia="仿宋_GB2312" w:cs="仿宋_GB2312"/>
          <w:color w:val="333333"/>
          <w:sz w:val="32"/>
          <w:szCs w:val="32"/>
          <w:shd w:val="clear" w:color="auto" w:fill="FFFFFF"/>
          <w:lang w:val="en-US" w:eastAsia="zh-CN"/>
        </w:rPr>
        <w:t>良</w:t>
      </w:r>
      <w:r>
        <w:rPr>
          <w:rFonts w:hint="eastAsia" w:ascii="仿宋_GB2312" w:hAnsi="仿宋_GB2312" w:eastAsia="仿宋_GB2312" w:cs="仿宋_GB2312"/>
          <w:color w:val="333333"/>
          <w:sz w:val="32"/>
          <w:szCs w:val="32"/>
          <w:shd w:val="clear" w:color="auto" w:fill="FFFFFF"/>
        </w:rPr>
        <w:t>”。</w:t>
      </w:r>
    </w:p>
    <w:p>
      <w:pPr>
        <w:pStyle w:val="2"/>
        <w:pageBreakBefore w:val="0"/>
        <w:numPr>
          <w:ilvl w:val="0"/>
          <w:numId w:val="0"/>
        </w:numPr>
        <w:kinsoku/>
        <w:wordWrap/>
        <w:overflowPunct/>
        <w:topLinePunct w:val="0"/>
        <w:autoSpaceDE/>
        <w:autoSpaceDN/>
        <w:bidi w:val="0"/>
        <w:adjustRightInd/>
        <w:snapToGrid/>
        <w:spacing w:before="0" w:after="0" w:line="600" w:lineRule="exact"/>
        <w:ind w:left="0" w:leftChars="0" w:right="0" w:rightChars="0" w:firstLine="640" w:firstLineChars="200"/>
        <w:textAlignment w:val="auto"/>
        <w:rPr>
          <w:rFonts w:hint="eastAsia" w:ascii="黑体" w:hAnsi="黑体" w:eastAsia="黑体" w:cs="黑体"/>
          <w:b w:val="0"/>
          <w:bCs w:val="0"/>
          <w:sz w:val="32"/>
          <w:szCs w:val="32"/>
          <w:lang w:eastAsia="zh-CN"/>
        </w:rPr>
      </w:pPr>
      <w:bookmarkStart w:id="28" w:name="_Toc413785914"/>
      <w:r>
        <w:rPr>
          <w:rFonts w:hint="eastAsia" w:ascii="黑体" w:hAnsi="黑体" w:eastAsia="黑体" w:cs="黑体"/>
          <w:b w:val="0"/>
          <w:bCs w:val="0"/>
          <w:sz w:val="32"/>
          <w:szCs w:val="32"/>
          <w:lang w:eastAsia="zh-CN"/>
        </w:rPr>
        <w:t>五、存在的主要问题</w:t>
      </w:r>
      <w:bookmarkEnd w:id="28"/>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0C0C0C"/>
          <w:sz w:val="32"/>
          <w:szCs w:val="32"/>
          <w:shd w:val="clear" w:color="auto" w:fill="FFFFFF"/>
        </w:rPr>
      </w:pPr>
      <w:r>
        <w:rPr>
          <w:rFonts w:hint="eastAsia" w:ascii="仿宋_GB2312" w:hAnsi="仿宋_GB2312" w:eastAsia="仿宋_GB2312" w:cs="仿宋_GB2312"/>
          <w:color w:val="0C0C0C"/>
          <w:kern w:val="0"/>
          <w:sz w:val="32"/>
          <w:szCs w:val="32"/>
          <w:lang w:val="en-US" w:eastAsia="zh-CN" w:bidi="ar-SA"/>
        </w:rPr>
        <w:t>会计审核不规范</w:t>
      </w:r>
      <w:r>
        <w:rPr>
          <w:rFonts w:hint="eastAsia" w:ascii="仿宋_GB2312" w:hAnsi="仿宋_GB2312" w:eastAsia="仿宋_GB2312" w:cs="仿宋_GB2312"/>
          <w:color w:val="0C0C0C"/>
          <w:kern w:val="0"/>
          <w:sz w:val="32"/>
          <w:szCs w:val="32"/>
          <w:lang w:eastAsia="zh-CN" w:bidi="ar-SA"/>
        </w:rPr>
        <w:t>，</w:t>
      </w:r>
      <w:r>
        <w:rPr>
          <w:rFonts w:hint="eastAsia" w:ascii="仿宋_GB2312" w:hAnsi="仿宋_GB2312" w:eastAsia="仿宋_GB2312" w:cs="仿宋_GB2312"/>
          <w:color w:val="0C0C0C"/>
          <w:kern w:val="0"/>
          <w:sz w:val="32"/>
          <w:szCs w:val="32"/>
          <w:lang w:val="en-US" w:eastAsia="zh-CN" w:bidi="ar-SA"/>
        </w:rPr>
        <w:t>以前老账处理不及时，公务接待费和陪同人员超标</w:t>
      </w:r>
      <w:r>
        <w:rPr>
          <w:rFonts w:hint="eastAsia" w:ascii="仿宋_GB2312" w:hAnsi="仿宋_GB2312" w:eastAsia="仿宋_GB2312" w:cs="仿宋_GB2312"/>
          <w:color w:val="0C0C0C"/>
          <w:kern w:val="0"/>
          <w:sz w:val="32"/>
          <w:szCs w:val="32"/>
          <w:lang w:eastAsia="zh-CN" w:bidi="ar-SA"/>
        </w:rPr>
        <w:t>，预算编制的合理性有待提高。</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bookmarkStart w:id="29" w:name="_Toc413785916"/>
      <w:r>
        <w:rPr>
          <w:rFonts w:hint="eastAsia" w:ascii="楷体_GB2312" w:hAnsi="楷体_GB2312" w:eastAsia="楷体_GB2312" w:cs="楷体_GB2312"/>
          <w:b/>
          <w:bCs/>
          <w:color w:val="333333"/>
          <w:sz w:val="32"/>
          <w:szCs w:val="32"/>
          <w:highlight w:val="none"/>
          <w:shd w:val="clear" w:color="auto" w:fill="FFFFFF"/>
          <w:lang w:eastAsia="zh-CN"/>
        </w:rPr>
        <w:t>（一）预算编制问题</w:t>
      </w:r>
      <w:bookmarkEnd w:id="29"/>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lang w:eastAsia="zh-CN"/>
        </w:rPr>
        <w:t>从</w:t>
      </w:r>
      <w:r>
        <w:rPr>
          <w:rFonts w:hint="eastAsia" w:ascii="仿宋_GB2312" w:hAnsi="仿宋_GB2312" w:eastAsia="仿宋_GB2312" w:cs="仿宋_GB2312"/>
          <w:color w:val="333333"/>
          <w:sz w:val="32"/>
          <w:szCs w:val="32"/>
          <w:shd w:val="clear" w:color="auto" w:fill="FFFFFF"/>
          <w:lang w:val="en-US" w:eastAsia="zh-CN"/>
        </w:rPr>
        <w:t>东安</w:t>
      </w:r>
      <w:r>
        <w:rPr>
          <w:rFonts w:hint="eastAsia" w:ascii="仿宋_GB2312" w:hAnsi="仿宋_GB2312" w:eastAsia="仿宋_GB2312" w:cs="仿宋_GB2312"/>
          <w:color w:val="333333"/>
          <w:sz w:val="32"/>
          <w:szCs w:val="32"/>
          <w:shd w:val="clear" w:color="auto" w:fill="FFFFFF"/>
          <w:lang w:eastAsia="zh-CN"/>
        </w:rPr>
        <w:t>县财政局批准的</w:t>
      </w: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333333"/>
          <w:sz w:val="32"/>
          <w:szCs w:val="32"/>
          <w:shd w:val="clear" w:color="auto" w:fill="FFFFFF"/>
          <w:lang w:eastAsia="zh-CN"/>
        </w:rPr>
        <w:t>的预算编制说明来看，年初预算</w:t>
      </w:r>
      <w:r>
        <w:rPr>
          <w:rFonts w:hint="eastAsia" w:ascii="仿宋_GB2312" w:hAnsi="仿宋_GB2312" w:eastAsia="仿宋_GB2312" w:cs="仿宋_GB2312"/>
          <w:color w:val="333333"/>
          <w:sz w:val="32"/>
          <w:szCs w:val="32"/>
          <w:shd w:val="clear" w:color="auto" w:fill="FFFFFF"/>
          <w:lang w:val="en-US" w:eastAsia="zh-CN"/>
        </w:rPr>
        <w:t>支出</w:t>
      </w:r>
      <w:r>
        <w:rPr>
          <w:rFonts w:hint="eastAsia" w:ascii="仿宋_GB2312" w:hAnsi="仿宋_GB2312" w:eastAsia="仿宋_GB2312" w:cs="仿宋_GB2312"/>
          <w:sz w:val="32"/>
          <w:szCs w:val="32"/>
        </w:rPr>
        <w:t>627.399</w:t>
      </w:r>
      <w:r>
        <w:rPr>
          <w:rFonts w:hint="eastAsia" w:ascii="仿宋_GB2312" w:hAnsi="仿宋_GB2312" w:eastAsia="仿宋_GB2312" w:cs="仿宋_GB2312"/>
          <w:color w:val="333333"/>
          <w:sz w:val="32"/>
          <w:szCs w:val="32"/>
          <w:shd w:val="clear" w:color="auto" w:fill="FFFFFF"/>
          <w:lang w:val="en-US" w:eastAsia="zh-CN"/>
        </w:rPr>
        <w:t>万元。实际支出981.069405万元，其中：基本支出827.565405万元、项目支出153.504万元。其中项目支出153.504万元和上年结余资金191.4698万元，未纳入本年预算，说明东安县环境保护局</w:t>
      </w:r>
      <w:r>
        <w:rPr>
          <w:rFonts w:hint="eastAsia" w:ascii="仿宋_GB2312" w:hAnsi="仿宋_GB2312" w:eastAsia="仿宋_GB2312" w:cs="仿宋_GB2312"/>
          <w:color w:val="333333"/>
          <w:sz w:val="32"/>
          <w:szCs w:val="32"/>
          <w:shd w:val="clear" w:color="auto" w:fill="FFFFFF"/>
          <w:lang w:eastAsia="zh-CN"/>
        </w:rPr>
        <w:t>在</w:t>
      </w:r>
      <w:r>
        <w:rPr>
          <w:rFonts w:hint="eastAsia" w:ascii="仿宋_GB2312" w:hAnsi="仿宋_GB2312" w:eastAsia="仿宋_GB2312" w:cs="仿宋_GB2312"/>
          <w:color w:val="333333"/>
          <w:sz w:val="32"/>
          <w:szCs w:val="32"/>
          <w:shd w:val="clear" w:color="auto" w:fill="FFFFFF"/>
          <w:lang w:val="en-US" w:eastAsia="zh-CN"/>
        </w:rPr>
        <w:t>预算编制时未全面考虑，对本局全年的所有收支没有做出统筹安排。</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val="en-US" w:eastAsia="zh-CN"/>
        </w:rPr>
      </w:pPr>
      <w:bookmarkStart w:id="30" w:name="_Toc413785917"/>
      <w:r>
        <w:rPr>
          <w:rFonts w:hint="eastAsia" w:ascii="楷体_GB2312" w:hAnsi="楷体_GB2312" w:eastAsia="楷体_GB2312" w:cs="楷体_GB2312"/>
          <w:b/>
          <w:bCs/>
          <w:color w:val="333333"/>
          <w:sz w:val="32"/>
          <w:szCs w:val="32"/>
          <w:highlight w:val="none"/>
          <w:shd w:val="clear" w:color="auto" w:fill="FFFFFF"/>
          <w:lang w:eastAsia="zh-CN"/>
        </w:rPr>
        <w:t>（二）公务接待</w:t>
      </w:r>
      <w:r>
        <w:rPr>
          <w:rFonts w:hint="eastAsia" w:ascii="楷体_GB2312" w:hAnsi="楷体_GB2312" w:eastAsia="楷体_GB2312" w:cs="楷体_GB2312"/>
          <w:b/>
          <w:bCs/>
          <w:color w:val="333333"/>
          <w:sz w:val="32"/>
          <w:szCs w:val="32"/>
          <w:highlight w:val="none"/>
          <w:shd w:val="clear" w:color="auto" w:fill="FFFFFF"/>
          <w:lang w:val="en-US" w:eastAsia="zh-CN"/>
        </w:rPr>
        <w:t>费用超标</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FF0000"/>
          <w:sz w:val="32"/>
          <w:szCs w:val="32"/>
          <w:highlight w:val="none"/>
          <w:shd w:val="clear" w:color="auto" w:fill="FFFFFF"/>
          <w:lang w:val="en-US" w:eastAsia="zh-CN"/>
        </w:rPr>
      </w:pPr>
      <w:r>
        <w:rPr>
          <w:rFonts w:hint="eastAsia" w:ascii="仿宋_GB2312" w:hAnsi="仿宋_GB2312" w:eastAsia="仿宋_GB2312" w:cs="仿宋_GB2312"/>
          <w:color w:val="333333"/>
          <w:sz w:val="32"/>
          <w:szCs w:val="32"/>
          <w:highlight w:val="none"/>
          <w:shd w:val="clear" w:color="auto" w:fill="FFFFFF"/>
        </w:rPr>
        <w:t>公务接待费核算不规范。按照新的《</w:t>
      </w:r>
      <w:r>
        <w:rPr>
          <w:rFonts w:hint="eastAsia" w:ascii="仿宋_GB2312" w:hAnsi="仿宋_GB2312" w:eastAsia="仿宋_GB2312" w:cs="仿宋_GB2312"/>
          <w:color w:val="333333"/>
          <w:sz w:val="32"/>
          <w:szCs w:val="32"/>
          <w:highlight w:val="none"/>
          <w:shd w:val="clear" w:color="auto" w:fill="FFFFFF"/>
          <w:lang w:eastAsia="zh-CN"/>
        </w:rPr>
        <w:t>行政</w:t>
      </w:r>
      <w:r>
        <w:rPr>
          <w:rFonts w:hint="eastAsia" w:ascii="仿宋_GB2312" w:hAnsi="仿宋_GB2312" w:eastAsia="仿宋_GB2312" w:cs="仿宋_GB2312"/>
          <w:color w:val="333333"/>
          <w:sz w:val="32"/>
          <w:szCs w:val="32"/>
          <w:highlight w:val="none"/>
          <w:shd w:val="clear" w:color="auto" w:fill="FFFFFF"/>
        </w:rPr>
        <w:t>单位会计制度》，公务接待费核算单位及部门为执行公务或开展业务活动而开支的接待费用。包括交通费、用餐费和住宿费等用于接待的费用。</w:t>
      </w: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333333"/>
          <w:sz w:val="32"/>
          <w:szCs w:val="32"/>
          <w:highlight w:val="none"/>
          <w:shd w:val="clear" w:color="auto" w:fill="FFFFFF"/>
          <w:lang w:eastAsia="zh-CN"/>
        </w:rPr>
        <w:t>公务接待</w:t>
      </w:r>
      <w:r>
        <w:rPr>
          <w:rFonts w:hint="eastAsia" w:ascii="仿宋_GB2312" w:hAnsi="仿宋_GB2312" w:eastAsia="仿宋_GB2312" w:cs="仿宋_GB2312"/>
          <w:color w:val="333333"/>
          <w:sz w:val="32"/>
          <w:szCs w:val="32"/>
          <w:highlight w:val="none"/>
          <w:shd w:val="clear" w:color="auto" w:fill="FFFFFF"/>
          <w:lang w:val="en-US" w:eastAsia="zh-CN"/>
        </w:rPr>
        <w:t>时，有些用餐费超标，例如12月8号凭证，市监测站来人8位，陪餐5人，消费1442元，超标142元；12月33号凭证，市环保局来人7位，陪餐4人，消费1270元，超标170元。以上问题在2018年3-4月县里统一组织安排的违规公款吃喝自查自纠时已退超标费。</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r>
        <w:rPr>
          <w:rFonts w:hint="eastAsia" w:ascii="楷体_GB2312" w:hAnsi="楷体_GB2312" w:eastAsia="楷体_GB2312" w:cs="楷体_GB2312"/>
          <w:b/>
          <w:bCs/>
          <w:color w:val="333333"/>
          <w:sz w:val="32"/>
          <w:szCs w:val="32"/>
          <w:highlight w:val="none"/>
          <w:shd w:val="clear" w:color="auto" w:fill="FFFFFF"/>
          <w:lang w:eastAsia="zh-CN"/>
        </w:rPr>
        <w:t>（三）“三公经费”管理存在的问题</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333333"/>
          <w:sz w:val="32"/>
          <w:szCs w:val="32"/>
          <w:highlight w:val="none"/>
          <w:shd w:val="clear" w:color="auto" w:fill="FFFFFF"/>
          <w:lang w:val="en-US" w:eastAsia="zh-CN"/>
        </w:rPr>
      </w:pPr>
      <w:r>
        <w:rPr>
          <w:rFonts w:hint="eastAsia" w:ascii="仿宋_GB2312" w:hAnsi="仿宋_GB2312" w:eastAsia="仿宋_GB2312" w:cs="仿宋_GB2312"/>
          <w:color w:val="333333"/>
          <w:sz w:val="32"/>
          <w:szCs w:val="32"/>
          <w:shd w:val="clear" w:color="auto" w:fill="FFFFFF"/>
        </w:rPr>
        <w:t>机关和事业单位招待费管理</w:t>
      </w:r>
      <w:r>
        <w:rPr>
          <w:rFonts w:hint="eastAsia" w:ascii="仿宋_GB2312" w:hAnsi="仿宋_GB2312" w:eastAsia="仿宋_GB2312" w:cs="仿宋_GB2312"/>
          <w:color w:val="333333"/>
          <w:sz w:val="32"/>
          <w:szCs w:val="32"/>
          <w:shd w:val="clear" w:color="auto" w:fill="FFFFFF"/>
          <w:lang w:val="en-US" w:eastAsia="zh-CN"/>
        </w:rPr>
        <w:t>规定</w:t>
      </w:r>
      <w:r>
        <w:rPr>
          <w:rFonts w:hint="eastAsia" w:ascii="仿宋_GB2312" w:hAnsi="仿宋_GB2312" w:eastAsia="仿宋_GB2312" w:cs="仿宋_GB2312"/>
          <w:color w:val="333333"/>
          <w:sz w:val="32"/>
          <w:szCs w:val="32"/>
          <w:shd w:val="clear" w:color="auto" w:fill="FFFFFF"/>
        </w:rPr>
        <w:t>，在公务接待费报销时，应当包括派出单位的公函（或电报、传真、电话记录等）和本单位填写的《公务接待审批单》</w:t>
      </w:r>
      <w:r>
        <w:rPr>
          <w:rFonts w:hint="eastAsia" w:ascii="仿宋_GB2312" w:hAnsi="仿宋_GB2312" w:eastAsia="仿宋_GB2312" w:cs="仿宋_GB2312"/>
          <w:color w:val="333333"/>
          <w:sz w:val="32"/>
          <w:szCs w:val="32"/>
          <w:shd w:val="clear" w:color="auto" w:fill="FFFFFF"/>
          <w:lang w:val="en-US" w:eastAsia="zh-CN"/>
        </w:rPr>
        <w:t>且招待费应按照机关和事业单位招待费管理规定</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rPr>
        <w:t>而</w:t>
      </w:r>
      <w:r>
        <w:rPr>
          <w:rFonts w:hint="eastAsia" w:ascii="仿宋_GB2312" w:hAnsi="仿宋_GB2312" w:eastAsia="仿宋_GB2312" w:cs="仿宋_GB2312"/>
          <w:color w:val="333333"/>
          <w:sz w:val="32"/>
          <w:szCs w:val="32"/>
          <w:shd w:val="clear" w:color="auto" w:fill="FFFFFF"/>
          <w:lang w:val="en-US" w:eastAsia="zh-CN"/>
        </w:rPr>
        <w:t>东安县环境保护局</w:t>
      </w:r>
      <w:r>
        <w:rPr>
          <w:rFonts w:hint="eastAsia" w:ascii="仿宋_GB2312" w:hAnsi="仿宋_GB2312" w:eastAsia="仿宋_GB2312" w:cs="仿宋_GB2312"/>
          <w:color w:val="333333"/>
          <w:sz w:val="32"/>
          <w:szCs w:val="32"/>
          <w:shd w:val="clear" w:color="auto" w:fill="FFFFFF"/>
        </w:rPr>
        <w:t>在公务接待费报销时，存在有未附《派出单位公函》和《公务接待审批</w:t>
      </w:r>
      <w:r>
        <w:rPr>
          <w:rFonts w:hint="eastAsia" w:ascii="仿宋_GB2312" w:hAnsi="仿宋_GB2312" w:eastAsia="仿宋_GB2312" w:cs="仿宋_GB2312"/>
          <w:color w:val="333333"/>
          <w:sz w:val="32"/>
          <w:szCs w:val="32"/>
          <w:highlight w:val="none"/>
          <w:shd w:val="clear" w:color="auto" w:fill="FFFFFF"/>
        </w:rPr>
        <w:t>单》的现象</w:t>
      </w:r>
      <w:r>
        <w:rPr>
          <w:rFonts w:hint="eastAsia" w:ascii="仿宋_GB2312" w:hAnsi="仿宋_GB2312" w:eastAsia="仿宋_GB2312" w:cs="仿宋_GB2312"/>
          <w:color w:val="333333"/>
          <w:sz w:val="32"/>
          <w:szCs w:val="32"/>
          <w:highlight w:val="none"/>
          <w:shd w:val="clear" w:color="auto" w:fill="FFFFFF"/>
          <w:lang w:eastAsia="zh-CN"/>
        </w:rPr>
        <w:t>，在</w:t>
      </w:r>
      <w:r>
        <w:rPr>
          <w:rFonts w:hint="eastAsia" w:ascii="仿宋_GB2312" w:hAnsi="仿宋_GB2312" w:eastAsia="仿宋_GB2312" w:cs="仿宋_GB2312"/>
          <w:color w:val="333333"/>
          <w:sz w:val="32"/>
          <w:szCs w:val="32"/>
          <w:highlight w:val="none"/>
          <w:shd w:val="clear" w:color="auto" w:fill="FFFFFF"/>
          <w:lang w:val="en-US" w:eastAsia="zh-CN"/>
        </w:rPr>
        <w:t>2018年3-4月县里统一清查时纪委同意不再补前期手续不足的，对于不合理和超标消费的情况如实退款。</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highlight w:val="none"/>
          <w:shd w:val="clear" w:color="auto" w:fill="FFFFFF"/>
          <w:lang w:eastAsia="zh-CN"/>
        </w:rPr>
      </w:pPr>
      <w:r>
        <w:rPr>
          <w:rFonts w:hint="eastAsia" w:ascii="楷体_GB2312" w:hAnsi="楷体_GB2312" w:eastAsia="楷体_GB2312" w:cs="楷体_GB2312"/>
          <w:b/>
          <w:bCs/>
          <w:color w:val="333333"/>
          <w:sz w:val="32"/>
          <w:szCs w:val="32"/>
          <w:highlight w:val="none"/>
          <w:shd w:val="clear" w:color="auto" w:fill="FFFFFF"/>
          <w:lang w:eastAsia="zh-CN"/>
        </w:rPr>
        <w:t>（四）延时报销各种费用</w:t>
      </w:r>
    </w:p>
    <w:p>
      <w:pPr>
        <w:pageBreakBefore w:val="0"/>
        <w:widowControl w:val="0"/>
        <w:numPr>
          <w:ilvl w:val="0"/>
          <w:numId w:val="0"/>
        </w:numPr>
        <w:kinsoku/>
        <w:wordWrap/>
        <w:overflowPunct/>
        <w:topLinePunct w:val="0"/>
        <w:autoSpaceDE/>
        <w:autoSpaceDN/>
        <w:bidi w:val="0"/>
        <w:adjustRightInd/>
        <w:snapToGrid/>
        <w:spacing w:line="600" w:lineRule="exact"/>
        <w:ind w:right="0" w:rightChars="0"/>
        <w:jc w:val="both"/>
        <w:textAlignment w:val="auto"/>
        <w:rPr>
          <w:rFonts w:hint="eastAsia" w:ascii="仿宋_GB2312" w:hAnsi="仿宋_GB2312" w:eastAsia="仿宋_GB2312" w:cs="仿宋_GB2312"/>
          <w:color w:val="333333"/>
          <w:sz w:val="32"/>
          <w:szCs w:val="32"/>
          <w:highlight w:val="none"/>
          <w:shd w:val="clear" w:color="auto" w:fill="FFFFFF"/>
          <w:lang w:val="en-US" w:eastAsia="zh-CN"/>
        </w:rPr>
      </w:pPr>
      <w:r>
        <w:rPr>
          <w:rFonts w:hint="eastAsia" w:ascii="仿宋_GB2312" w:hAnsi="仿宋_GB2312" w:eastAsia="仿宋_GB2312" w:cs="仿宋_GB2312"/>
          <w:color w:val="333333"/>
          <w:sz w:val="32"/>
          <w:szCs w:val="32"/>
          <w:highlight w:val="none"/>
          <w:shd w:val="clear" w:color="auto" w:fill="FFFFFF"/>
          <w:lang w:val="en-US" w:eastAsia="zh-CN"/>
        </w:rPr>
        <w:t xml:space="preserve">    我们在绩效评价时发现，东安县环保局在2017年度报销了很多以前年度的费用开支，合计 301,183.00元，其中办公费59,001.00元(其中2015年57,381.00元,2016年1,620.00元)，公务接待费126,707.00元(其中2012年7,470.00元，2014年6,990.00元，2015年3,669.00元，2016年108,578.00)；公车运行维护费98,635.00元（其中2015年46,900.00元，2016年51,735.00元）；生活补助16,840.00元（其中2015年7,200.00元，2016年9,640.00元）。</w:t>
      </w:r>
    </w:p>
    <w:p>
      <w:pPr>
        <w:pStyle w:val="2"/>
        <w:pageBreakBefore w:val="0"/>
        <w:widowControl w:val="0"/>
        <w:kinsoku/>
        <w:wordWrap/>
        <w:overflowPunct/>
        <w:topLinePunct w:val="0"/>
        <w:autoSpaceDE/>
        <w:autoSpaceDN/>
        <w:bidi w:val="0"/>
        <w:adjustRightInd/>
        <w:snapToGrid/>
        <w:spacing w:before="0" w:after="0" w:line="600" w:lineRule="exact"/>
        <w:ind w:left="0" w:leftChars="0" w:right="0" w:rightChars="0"/>
        <w:jc w:val="both"/>
        <w:textAlignment w:val="auto"/>
        <w:rPr>
          <w:rFonts w:hint="eastAsia" w:ascii="仿宋_GB2312" w:hAnsi="仿宋_GB2312" w:eastAsia="仿宋_GB2312" w:cs="仿宋_GB2312"/>
          <w:kern w:val="2"/>
          <w:sz w:val="32"/>
          <w:szCs w:val="32"/>
          <w:highlight w:val="none"/>
        </w:rPr>
      </w:pPr>
      <w:r>
        <w:rPr>
          <w:rFonts w:hint="eastAsia" w:ascii="仿宋_GB2312" w:hAnsi="仿宋_GB2312" w:eastAsia="仿宋_GB2312" w:cs="仿宋_GB2312"/>
          <w:kern w:val="2"/>
          <w:sz w:val="32"/>
          <w:szCs w:val="32"/>
          <w:highlight w:val="none"/>
        </w:rPr>
        <w:t xml:space="preserve"> </w:t>
      </w:r>
      <w:r>
        <w:rPr>
          <w:rFonts w:hint="eastAsia" w:ascii="仿宋_GB2312" w:hAnsi="仿宋_GB2312" w:eastAsia="仿宋_GB2312" w:cs="仿宋_GB2312"/>
          <w:b w:val="0"/>
          <w:bCs w:val="0"/>
          <w:kern w:val="2"/>
          <w:sz w:val="32"/>
          <w:szCs w:val="32"/>
          <w:highlight w:val="none"/>
        </w:rPr>
        <w:t xml:space="preserve">   </w:t>
      </w:r>
      <w:r>
        <w:rPr>
          <w:rFonts w:hint="eastAsia" w:ascii="黑体" w:hAnsi="黑体" w:eastAsia="黑体" w:cs="黑体"/>
          <w:b w:val="0"/>
          <w:bCs w:val="0"/>
          <w:sz w:val="32"/>
          <w:szCs w:val="32"/>
          <w:lang w:eastAsia="zh-CN"/>
        </w:rPr>
        <w:t>六、具体建议</w:t>
      </w:r>
      <w:bookmarkEnd w:id="30"/>
    </w:p>
    <w:p>
      <w:pPr>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rPr>
          <w:rFonts w:hint="eastAsia" w:ascii="仿宋_GB2312" w:hAnsi="仿宋_GB2312" w:eastAsia="仿宋_GB2312" w:cs="仿宋_GB2312"/>
          <w:color w:val="333333"/>
          <w:sz w:val="32"/>
          <w:szCs w:val="32"/>
          <w:shd w:val="clear" w:color="auto" w:fill="FFFFFF"/>
        </w:rPr>
      </w:pPr>
      <w:bookmarkStart w:id="31" w:name="_Toc413785918"/>
      <w:r>
        <w:rPr>
          <w:rFonts w:hint="eastAsia" w:ascii="仿宋_GB2312" w:hAnsi="仿宋_GB2312" w:eastAsia="仿宋_GB2312" w:cs="仿宋_GB2312"/>
          <w:color w:val="333333"/>
          <w:sz w:val="32"/>
          <w:szCs w:val="32"/>
          <w:shd w:val="clear" w:color="auto" w:fill="FFFFFF"/>
        </w:rPr>
        <w:t xml:space="preserve">   </w:t>
      </w:r>
      <w:r>
        <w:rPr>
          <w:rFonts w:hint="eastAsia" w:ascii="仿宋_GB2312" w:hAnsi="仿宋_GB2312" w:eastAsia="仿宋_GB2312" w:cs="仿宋_GB2312"/>
          <w:b/>
          <w:bCs/>
          <w:color w:val="333333"/>
          <w:sz w:val="32"/>
          <w:szCs w:val="32"/>
          <w:shd w:val="clear" w:color="auto" w:fill="FFFFFF"/>
        </w:rPr>
        <w:t xml:space="preserve"> </w:t>
      </w:r>
      <w:r>
        <w:rPr>
          <w:rFonts w:hint="eastAsia" w:ascii="楷体_GB2312" w:hAnsi="楷体_GB2312" w:eastAsia="楷体_GB2312" w:cs="楷体_GB2312"/>
          <w:b/>
          <w:bCs/>
          <w:color w:val="333333"/>
          <w:sz w:val="32"/>
          <w:szCs w:val="32"/>
          <w:shd w:val="clear" w:color="auto" w:fill="FFFFFF"/>
          <w:lang w:val="en-US" w:eastAsia="zh-CN"/>
        </w:rPr>
        <w:t>（一）加强预算管理，严格执行《预算法》</w:t>
      </w:r>
      <w:bookmarkEnd w:id="31"/>
    </w:p>
    <w:p>
      <w:pPr>
        <w:pageBreakBefore w:val="0"/>
        <w:widowControl w:val="0"/>
        <w:kinsoku/>
        <w:wordWrap/>
        <w:overflowPunct/>
        <w:topLinePunct w:val="0"/>
        <w:autoSpaceDE/>
        <w:autoSpaceDN/>
        <w:bidi w:val="0"/>
        <w:adjustRightInd/>
        <w:snapToGrid/>
        <w:spacing w:line="600" w:lineRule="exact"/>
        <w:ind w:left="0" w:leftChars="0" w:right="0" w:rightChars="0"/>
        <w:jc w:val="both"/>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 xml:space="preserve">    严格按《预算法》执行部门预算，按照财政批复的部门预算和绩效目标的项目和用途使用资金，不得擅自调剂使用。</w:t>
      </w:r>
    </w:p>
    <w:p>
      <w:pPr>
        <w:pageBreakBefore w:val="0"/>
        <w:widowControl w:val="0"/>
        <w:kinsoku/>
        <w:wordWrap/>
        <w:overflowPunct/>
        <w:topLinePunct w:val="0"/>
        <w:autoSpaceDE/>
        <w:autoSpaceDN/>
        <w:bidi w:val="0"/>
        <w:adjustRightInd/>
        <w:snapToGrid/>
        <w:spacing w:line="600" w:lineRule="exact"/>
        <w:ind w:left="0" w:leftChars="0" w:right="0" w:rightChars="0" w:firstLine="560"/>
        <w:jc w:val="both"/>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在预算金额内严格控制费用的支出，要按照费用预算调整的报批程序，经批准后才能使用。在费用报账支付时，要严格审核，按照费用的实际使用用途进行资金支付和财务列报，严格按照</w:t>
      </w:r>
      <w:r>
        <w:rPr>
          <w:rFonts w:hint="eastAsia" w:ascii="仿宋_GB2312" w:hAnsi="仿宋_GB2312" w:eastAsia="仿宋_GB2312" w:cs="仿宋_GB2312"/>
          <w:color w:val="333333"/>
          <w:sz w:val="32"/>
          <w:szCs w:val="32"/>
          <w:shd w:val="clear" w:color="auto" w:fill="FFFFFF"/>
          <w:lang w:eastAsia="zh-CN"/>
        </w:rPr>
        <w:t>行政</w:t>
      </w:r>
      <w:r>
        <w:rPr>
          <w:rFonts w:hint="eastAsia" w:ascii="仿宋_GB2312" w:hAnsi="仿宋_GB2312" w:eastAsia="仿宋_GB2312" w:cs="仿宋_GB2312"/>
          <w:color w:val="333333"/>
          <w:sz w:val="32"/>
          <w:szCs w:val="32"/>
          <w:shd w:val="clear" w:color="auto" w:fill="FFFFFF"/>
        </w:rPr>
        <w:t>单位会计制度进行财务核算。</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shd w:val="clear" w:color="auto" w:fill="FFFFFF"/>
          <w:lang w:val="en-US" w:eastAsia="zh-CN"/>
        </w:rPr>
      </w:pPr>
      <w:r>
        <w:rPr>
          <w:rFonts w:hint="eastAsia" w:ascii="楷体_GB2312" w:hAnsi="楷体_GB2312" w:eastAsia="楷体_GB2312" w:cs="楷体_GB2312"/>
          <w:b/>
          <w:bCs/>
          <w:color w:val="333333"/>
          <w:sz w:val="32"/>
          <w:szCs w:val="32"/>
          <w:shd w:val="clear" w:color="auto" w:fill="FFFFFF"/>
          <w:lang w:val="en-US" w:eastAsia="zh-CN"/>
        </w:rPr>
        <w:t>（二）加强财务管理，严格财务审核</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rPr>
        <w:t>加强新《预算法》、《</w:t>
      </w:r>
      <w:r>
        <w:rPr>
          <w:rFonts w:hint="eastAsia" w:ascii="仿宋_GB2312" w:hAnsi="仿宋_GB2312" w:eastAsia="仿宋_GB2312" w:cs="仿宋_GB2312"/>
          <w:color w:val="333333"/>
          <w:sz w:val="32"/>
          <w:szCs w:val="32"/>
          <w:shd w:val="clear" w:color="auto" w:fill="FFFFFF"/>
          <w:lang w:eastAsia="zh-CN"/>
        </w:rPr>
        <w:t>行政</w:t>
      </w:r>
      <w:r>
        <w:rPr>
          <w:rFonts w:hint="eastAsia" w:ascii="仿宋_GB2312" w:hAnsi="仿宋_GB2312" w:eastAsia="仿宋_GB2312" w:cs="仿宋_GB2312"/>
          <w:color w:val="333333"/>
          <w:sz w:val="32"/>
          <w:szCs w:val="32"/>
          <w:shd w:val="clear" w:color="auto" w:fill="FFFFFF"/>
        </w:rPr>
        <w:t>单位会计制度》、《</w:t>
      </w:r>
      <w:r>
        <w:rPr>
          <w:rFonts w:hint="eastAsia" w:ascii="仿宋_GB2312" w:hAnsi="仿宋_GB2312" w:eastAsia="仿宋_GB2312" w:cs="仿宋_GB2312"/>
          <w:color w:val="333333"/>
          <w:sz w:val="32"/>
          <w:szCs w:val="32"/>
          <w:shd w:val="clear" w:color="auto" w:fill="FFFFFF"/>
          <w:lang w:eastAsia="zh-CN"/>
        </w:rPr>
        <w:t>行政</w:t>
      </w:r>
      <w:r>
        <w:rPr>
          <w:rFonts w:hint="eastAsia" w:ascii="仿宋_GB2312" w:hAnsi="仿宋_GB2312" w:eastAsia="仿宋_GB2312" w:cs="仿宋_GB2312"/>
          <w:color w:val="333333"/>
          <w:sz w:val="32"/>
          <w:szCs w:val="32"/>
          <w:shd w:val="clear" w:color="auto" w:fill="FFFFFF"/>
        </w:rPr>
        <w:t>单位会计准则》、《</w:t>
      </w:r>
      <w:r>
        <w:rPr>
          <w:rFonts w:hint="eastAsia" w:ascii="仿宋_GB2312" w:hAnsi="仿宋_GB2312" w:eastAsia="仿宋_GB2312" w:cs="仿宋_GB2312"/>
          <w:color w:val="333333"/>
          <w:sz w:val="32"/>
          <w:szCs w:val="32"/>
          <w:shd w:val="clear" w:color="auto" w:fill="FFFFFF"/>
          <w:lang w:eastAsia="zh-CN"/>
        </w:rPr>
        <w:t>行政</w:t>
      </w:r>
      <w:r>
        <w:rPr>
          <w:rFonts w:hint="eastAsia" w:ascii="仿宋_GB2312" w:hAnsi="仿宋_GB2312" w:eastAsia="仿宋_GB2312" w:cs="仿宋_GB2312"/>
          <w:color w:val="333333"/>
          <w:sz w:val="32"/>
          <w:szCs w:val="32"/>
          <w:shd w:val="clear" w:color="auto" w:fill="FFFFFF"/>
        </w:rPr>
        <w:t>单位财务规则》等学习培训，</w:t>
      </w:r>
      <w:r>
        <w:rPr>
          <w:rFonts w:hint="eastAsia" w:ascii="仿宋_GB2312" w:hAnsi="仿宋_GB2312" w:eastAsia="仿宋_GB2312" w:cs="仿宋_GB2312"/>
          <w:color w:val="333333"/>
          <w:sz w:val="32"/>
          <w:szCs w:val="32"/>
          <w:shd w:val="clear" w:color="auto" w:fill="FFFFFF"/>
          <w:lang w:val="en-US" w:eastAsia="zh-CN"/>
        </w:rPr>
        <w:t>在费用报账支付时，按费用项目和用途进行资金使用审核，列报支付、财务核算、杜绝超支现象的发生。</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shd w:val="clear" w:color="auto" w:fill="FFFFFF"/>
          <w:lang w:val="en-US" w:eastAsia="zh-CN"/>
        </w:rPr>
      </w:pPr>
      <w:r>
        <w:rPr>
          <w:rFonts w:hint="eastAsia" w:ascii="楷体_GB2312" w:hAnsi="楷体_GB2312" w:eastAsia="楷体_GB2312" w:cs="楷体_GB2312"/>
          <w:b/>
          <w:bCs/>
          <w:color w:val="333333"/>
          <w:sz w:val="32"/>
          <w:szCs w:val="32"/>
          <w:shd w:val="clear" w:color="auto" w:fill="FFFFFF"/>
          <w:lang w:val="en-US" w:eastAsia="zh-CN"/>
        </w:rPr>
        <w:t>（三）严格控制三公经费</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rPr>
        <w:t>首先,规范公务接待管理.进一步细化公务接待管理规定,严禁“同城吃请”,对各单位公务接待实行场所定点、费用单列、限额管理.对超过限额数的部分,各级财政部门一律不予报账,从源头上堵住公款吃喝的漏洞</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lang w:val="en-US" w:eastAsia="zh-CN"/>
        </w:rPr>
        <w:t>其次，</w:t>
      </w:r>
      <w:r>
        <w:rPr>
          <w:rFonts w:hint="eastAsia" w:ascii="仿宋_GB2312" w:hAnsi="仿宋_GB2312" w:eastAsia="仿宋_GB2312" w:cs="仿宋_GB2312"/>
          <w:color w:val="333333"/>
          <w:sz w:val="32"/>
          <w:szCs w:val="32"/>
          <w:shd w:val="clear" w:color="auto" w:fill="FFFFFF"/>
        </w:rPr>
        <w:t>在公务用车方面,要规范公务</w:t>
      </w:r>
      <w:r>
        <w:rPr>
          <w:rFonts w:hint="eastAsia" w:ascii="仿宋_GB2312" w:hAnsi="仿宋_GB2312" w:eastAsia="仿宋_GB2312" w:cs="仿宋_GB2312"/>
          <w:color w:val="333333"/>
          <w:sz w:val="32"/>
          <w:szCs w:val="32"/>
          <w:shd w:val="clear" w:color="auto" w:fill="FFFFFF"/>
          <w:lang w:val="en-US" w:eastAsia="zh-CN"/>
        </w:rPr>
        <w:t>用</w:t>
      </w:r>
      <w:r>
        <w:rPr>
          <w:rFonts w:hint="eastAsia" w:ascii="仿宋_GB2312" w:hAnsi="仿宋_GB2312" w:eastAsia="仿宋_GB2312" w:cs="仿宋_GB2312"/>
          <w:color w:val="333333"/>
          <w:sz w:val="32"/>
          <w:szCs w:val="32"/>
          <w:shd w:val="clear" w:color="auto" w:fill="FFFFFF"/>
        </w:rPr>
        <w:t>车的标准和数量,规范公务车更新的条件和程序,并以制度的方式进行规范；在公务车的使用方面可以采用内部控制手段进行规范,比如对公务车实行派车制度；加油采用按里程耗油定额加油或实行加油卡制度,一卡一车；对车辆维修可采用竞标方式,到中标厂家维修,实行司机申请,办公室负责维修等内控机制</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rPr>
        <w:t>建立公务用车运行费用单车核算制度</w:t>
      </w:r>
      <w:r>
        <w:rPr>
          <w:rFonts w:hint="eastAsia" w:ascii="仿宋_GB2312" w:hAnsi="仿宋_GB2312" w:eastAsia="仿宋_GB2312" w:cs="仿宋_GB2312"/>
          <w:color w:val="333333"/>
          <w:sz w:val="32"/>
          <w:szCs w:val="32"/>
          <w:shd w:val="clear" w:color="auto" w:fill="FFFFFF"/>
          <w:lang w:eastAsia="zh-CN"/>
        </w:rPr>
        <w:t>，</w:t>
      </w:r>
      <w:r>
        <w:rPr>
          <w:rFonts w:hint="eastAsia" w:ascii="仿宋_GB2312" w:hAnsi="仿宋_GB2312" w:eastAsia="仿宋_GB2312" w:cs="仿宋_GB2312"/>
          <w:color w:val="333333"/>
          <w:sz w:val="32"/>
          <w:szCs w:val="32"/>
          <w:shd w:val="clear" w:color="auto" w:fill="FFFFFF"/>
        </w:rPr>
        <w:t>促进规范消费</w:t>
      </w:r>
      <w:r>
        <w:rPr>
          <w:rFonts w:hint="eastAsia" w:ascii="仿宋_GB2312" w:hAnsi="仿宋_GB2312" w:eastAsia="仿宋_GB2312" w:cs="仿宋_GB2312"/>
          <w:color w:val="333333"/>
          <w:sz w:val="32"/>
          <w:szCs w:val="32"/>
          <w:shd w:val="clear" w:color="auto" w:fill="FFFFFF"/>
          <w:lang w:eastAsia="zh-CN"/>
        </w:rPr>
        <w:t>。</w:t>
      </w:r>
    </w:p>
    <w:p>
      <w:pPr>
        <w:pageBreakBefore w:val="0"/>
        <w:widowControl w:val="0"/>
        <w:kinsoku/>
        <w:wordWrap/>
        <w:overflowPunct/>
        <w:topLinePunct w:val="0"/>
        <w:autoSpaceDE/>
        <w:autoSpaceDN/>
        <w:bidi w:val="0"/>
        <w:adjustRightInd/>
        <w:snapToGrid/>
        <w:spacing w:line="600" w:lineRule="exact"/>
        <w:ind w:left="0" w:leftChars="0" w:right="0" w:rightChars="0" w:firstLine="643" w:firstLineChars="200"/>
        <w:jc w:val="both"/>
        <w:textAlignment w:val="auto"/>
        <w:rPr>
          <w:rFonts w:hint="eastAsia" w:ascii="楷体_GB2312" w:hAnsi="楷体_GB2312" w:eastAsia="楷体_GB2312" w:cs="楷体_GB2312"/>
          <w:b/>
          <w:bCs/>
          <w:color w:val="333333"/>
          <w:sz w:val="32"/>
          <w:szCs w:val="32"/>
          <w:shd w:val="clear" w:color="auto" w:fill="FFFFFF"/>
          <w:lang w:val="en-US" w:eastAsia="zh-CN"/>
        </w:rPr>
      </w:pPr>
      <w:r>
        <w:rPr>
          <w:rFonts w:hint="eastAsia" w:ascii="楷体_GB2312" w:hAnsi="楷体_GB2312" w:eastAsia="楷体_GB2312" w:cs="楷体_GB2312"/>
          <w:b/>
          <w:bCs/>
          <w:color w:val="333333"/>
          <w:sz w:val="32"/>
          <w:szCs w:val="32"/>
          <w:shd w:val="clear" w:color="auto" w:fill="FFFFFF"/>
          <w:lang w:val="en-US" w:eastAsia="zh-CN"/>
        </w:rPr>
        <w:t>（四）及时报销费用</w:t>
      </w:r>
    </w:p>
    <w:p>
      <w:pPr>
        <w:pageBreakBefore w:val="0"/>
        <w:widowControl w:val="0"/>
        <w:numPr>
          <w:ilvl w:val="0"/>
          <w:numId w:val="0"/>
        </w:numPr>
        <w:kinsoku/>
        <w:wordWrap/>
        <w:overflowPunct/>
        <w:topLinePunct w:val="0"/>
        <w:autoSpaceDE/>
        <w:autoSpaceDN/>
        <w:bidi w:val="0"/>
        <w:adjustRightInd/>
        <w:snapToGrid/>
        <w:spacing w:line="600" w:lineRule="exact"/>
        <w:ind w:right="0" w:rightChars="0"/>
        <w:jc w:val="both"/>
        <w:textAlignment w:val="auto"/>
        <w:rPr>
          <w:rFonts w:hint="eastAsia" w:ascii="仿宋_GB2312" w:hAnsi="仿宋_GB2312" w:eastAsia="仿宋_GB2312" w:cs="仿宋_GB2312"/>
          <w:color w:val="333333"/>
          <w:sz w:val="32"/>
          <w:szCs w:val="32"/>
          <w:shd w:val="clear" w:color="auto" w:fill="FFFFFF"/>
          <w:lang w:val="en-US" w:eastAsia="zh-CN"/>
        </w:rPr>
      </w:pPr>
      <w:r>
        <w:rPr>
          <w:rFonts w:hint="eastAsia" w:ascii="仿宋_GB2312" w:hAnsi="仿宋_GB2312" w:eastAsia="仿宋_GB2312" w:cs="仿宋_GB2312"/>
          <w:color w:val="333333"/>
          <w:sz w:val="32"/>
          <w:szCs w:val="32"/>
          <w:shd w:val="clear" w:color="auto" w:fill="FFFFFF"/>
          <w:lang w:val="en-US" w:eastAsia="zh-CN"/>
        </w:rPr>
        <w:t xml:space="preserve">    对于当年发生的费用，应取得合法合规的票据，经过合法程序及时报账。</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333333"/>
          <w:sz w:val="32"/>
          <w:szCs w:val="32"/>
          <w:shd w:val="clear" w:color="auto" w:fill="FFFFFF"/>
        </w:rPr>
      </w:pP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color w:val="333333"/>
          <w:sz w:val="32"/>
          <w:szCs w:val="32"/>
          <w:shd w:val="clear" w:color="auto" w:fill="FFFFFF"/>
        </w:rPr>
      </w:pPr>
      <w:r>
        <w:rPr>
          <w:rFonts w:hint="eastAsia" w:ascii="仿宋_GB2312" w:hAnsi="仿宋_GB2312" w:eastAsia="仿宋_GB2312" w:cs="仿宋_GB2312"/>
          <w:color w:val="333333"/>
          <w:sz w:val="32"/>
          <w:szCs w:val="32"/>
          <w:shd w:val="clear" w:color="auto" w:fill="FFFFFF"/>
        </w:rPr>
        <w:t>附表：东安县环保局部门整体支出绩效评价指标表</w:t>
      </w:r>
    </w:p>
    <w:p>
      <w:pPr>
        <w:pageBreakBefore w:val="0"/>
        <w:widowControl w:val="0"/>
        <w:kinsoku/>
        <w:wordWrap/>
        <w:overflowPunct/>
        <w:topLinePunct w:val="0"/>
        <w:autoSpaceDE/>
        <w:autoSpaceDN/>
        <w:bidi w:val="0"/>
        <w:adjustRightInd/>
        <w:snapToGrid/>
        <w:spacing w:line="600" w:lineRule="exact"/>
        <w:ind w:left="0" w:leftChars="0" w:right="0" w:rightChars="0"/>
        <w:textAlignment w:val="auto"/>
        <w:rPr>
          <w:rFonts w:hint="eastAsia" w:ascii="仿宋_GB2312" w:hAnsi="仿宋_GB2312" w:eastAsia="仿宋_GB2312" w:cs="仿宋_GB2312"/>
          <w:sz w:val="32"/>
          <w:szCs w:val="32"/>
        </w:rPr>
      </w:pPr>
    </w:p>
    <w:p>
      <w:pPr>
        <w:pageBreakBefore w:val="0"/>
        <w:widowControl w:val="0"/>
        <w:kinsoku/>
        <w:wordWrap/>
        <w:overflowPunct/>
        <w:topLinePunct w:val="0"/>
        <w:autoSpaceDE/>
        <w:autoSpaceDN/>
        <w:bidi w:val="0"/>
        <w:adjustRightInd/>
        <w:snapToGrid/>
        <w:spacing w:line="600" w:lineRule="exact"/>
        <w:ind w:left="0" w:leftChars="0" w:right="0" w:rightChars="0"/>
        <w:textAlignment w:val="auto"/>
        <w:rPr>
          <w:rFonts w:hint="eastAsia" w:ascii="仿宋_GB2312" w:hAnsi="仿宋_GB2312" w:eastAsia="仿宋_GB2312" w:cs="仿宋_GB2312"/>
          <w:sz w:val="32"/>
          <w:szCs w:val="32"/>
        </w:rPr>
      </w:pPr>
    </w:p>
    <w:p>
      <w:pPr>
        <w:pageBreakBefore w:val="0"/>
        <w:widowControl w:val="0"/>
        <w:kinsoku/>
        <w:wordWrap/>
        <w:overflowPunct/>
        <w:topLinePunct w:val="0"/>
        <w:autoSpaceDE/>
        <w:autoSpaceDN/>
        <w:bidi w:val="0"/>
        <w:adjustRightInd/>
        <w:snapToGrid/>
        <w:spacing w:line="600" w:lineRule="exact"/>
        <w:ind w:left="0" w:leftChars="0" w:right="0" w:right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湖南永一会计师事务所有限责任公司　中国注册会计师：</w:t>
      </w:r>
    </w:p>
    <w:p>
      <w:pPr>
        <w:pageBreakBefore w:val="0"/>
        <w:widowControl w:val="0"/>
        <w:kinsoku/>
        <w:wordWrap/>
        <w:overflowPunct/>
        <w:topLinePunct w:val="0"/>
        <w:autoSpaceDE/>
        <w:autoSpaceDN/>
        <w:bidi w:val="0"/>
        <w:adjustRightInd/>
        <w:snapToGrid/>
        <w:spacing w:line="600" w:lineRule="exact"/>
        <w:ind w:left="0" w:leftChars="0" w:right="0" w:rightChars="0" w:firstLine="640" w:firstLineChars="200"/>
        <w:textAlignment w:val="auto"/>
        <w:rPr>
          <w:rFonts w:hint="eastAsia" w:ascii="仿宋_GB2312" w:hAnsi="仿宋_GB2312" w:eastAsia="仿宋_GB2312" w:cs="仿宋_GB2312"/>
          <w:sz w:val="32"/>
          <w:szCs w:val="32"/>
        </w:rPr>
      </w:pPr>
    </w:p>
    <w:p>
      <w:pPr>
        <w:pageBreakBefore w:val="0"/>
        <w:widowControl w:val="0"/>
        <w:kinsoku/>
        <w:wordWrap/>
        <w:overflowPunct/>
        <w:topLinePunct w:val="0"/>
        <w:autoSpaceDE/>
        <w:autoSpaceDN/>
        <w:bidi w:val="0"/>
        <w:adjustRightInd/>
        <w:snapToGrid/>
        <w:spacing w:line="600" w:lineRule="exact"/>
        <w:ind w:left="0" w:leftChars="0" w:right="0" w:rightChars="0" w:firstLine="1728" w:firstLineChars="54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CN"/>
        </w:rPr>
        <w:t>湖南</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永州</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中国注册会计师：</w:t>
      </w:r>
    </w:p>
    <w:p>
      <w:pPr>
        <w:pageBreakBefore w:val="0"/>
        <w:widowControl w:val="0"/>
        <w:kinsoku/>
        <w:wordWrap/>
        <w:overflowPunct/>
        <w:topLinePunct w:val="0"/>
        <w:autoSpaceDE/>
        <w:autoSpaceDN/>
        <w:bidi w:val="0"/>
        <w:adjustRightInd/>
        <w:snapToGrid/>
        <w:spacing w:line="600" w:lineRule="exact"/>
        <w:ind w:left="0" w:leftChars="0" w:right="0" w:rightChars="0" w:firstLine="5184" w:firstLineChars="1620"/>
        <w:textAlignment w:val="auto"/>
        <w:rPr>
          <w:rFonts w:hint="eastAsia" w:ascii="仿宋_GB2312" w:hAnsi="仿宋_GB2312" w:eastAsia="仿宋_GB2312" w:cs="仿宋_GB2312"/>
          <w:sz w:val="32"/>
          <w:szCs w:val="32"/>
        </w:rPr>
      </w:pPr>
    </w:p>
    <w:p>
      <w:pPr>
        <w:pageBreakBefore w:val="0"/>
        <w:widowControl w:val="0"/>
        <w:kinsoku/>
        <w:wordWrap/>
        <w:overflowPunct/>
        <w:topLinePunct w:val="0"/>
        <w:autoSpaceDE/>
        <w:autoSpaceDN/>
        <w:bidi w:val="0"/>
        <w:adjustRightInd/>
        <w:snapToGrid/>
        <w:spacing w:line="600" w:lineRule="exact"/>
        <w:ind w:left="0" w:leftChars="0" w:right="0" w:rightChars="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二〇一</w:t>
      </w:r>
      <w:r>
        <w:rPr>
          <w:rFonts w:hint="eastAsia" w:ascii="仿宋_GB2312" w:hAnsi="仿宋_GB2312" w:eastAsia="仿宋_GB2312" w:cs="仿宋_GB2312"/>
          <w:sz w:val="32"/>
          <w:szCs w:val="32"/>
          <w:lang w:eastAsia="zh-CN"/>
        </w:rPr>
        <w:t>八</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十二月二十七</w:t>
      </w:r>
      <w:r>
        <w:rPr>
          <w:rFonts w:hint="eastAsia" w:ascii="仿宋_GB2312" w:hAnsi="仿宋_GB2312" w:eastAsia="仿宋_GB2312" w:cs="仿宋_GB2312"/>
          <w:sz w:val="32"/>
          <w:szCs w:val="32"/>
        </w:rPr>
        <w:t>日</w:t>
      </w:r>
    </w:p>
    <w:sectPr>
      <w:footerReference r:id="rId6" w:type="default"/>
      <w:pgSz w:w="11906" w:h="16838"/>
      <w:pgMar w:top="1701" w:right="1417" w:bottom="1701" w:left="1417" w:header="851" w:footer="850" w:gutter="0"/>
      <w:paperSrc/>
      <w:pgBorders>
        <w:top w:val="none" w:sz="0" w:space="0"/>
        <w:left w:val="none" w:sz="0" w:space="0"/>
        <w:bottom w:val="none" w:sz="0" w:space="0"/>
        <w:right w:val="none" w:sz="0" w:space="0"/>
      </w:pgBorders>
      <w:pgNumType w:start="1"/>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简体">
    <w:altName w:val="宋体"/>
    <w:panose1 w:val="02010601030101010101"/>
    <w:charset w:val="86"/>
    <w:family w:val="auto"/>
    <w:pitch w:val="default"/>
    <w:sig w:usb0="00000001" w:usb1="080E0000" w:usb2="00000010" w:usb3="00000000" w:csb0="00040000" w:csb1="00000000"/>
  </w:font>
  <w:font w:name="仿宋_GB2312">
    <w:altName w:val="仿宋"/>
    <w:panose1 w:val="02010609030101010101"/>
    <w:charset w:val="86"/>
    <w:family w:val="modern"/>
    <w:pitch w:val="default"/>
    <w:sig w:usb0="00000001" w:usb1="080E0000" w:usb2="00000000" w:usb3="00000000" w:csb0="00040000" w:csb1="00000000"/>
  </w:font>
  <w:font w:name="华文细黑">
    <w:altName w:val="微软雅黑"/>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tabs>
        <w:tab w:val="center" w:pos="4620"/>
        <w:tab w:val="clear" w:pos="4153"/>
      </w:tabs>
    </w:pP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12</w:t>
                          </w:r>
                          <w:r>
                            <w:rPr>
                              <w:rFonts w:hint="eastAsia"/>
                              <w:sz w:val="18"/>
                            </w:rP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o&#10;aYJL0wAAAAUBAAAPAAAAAAAAAAEAIAAAACIAAABkcnMvZG93bnJldi54bWxQSwECFAAUAAAACACH&#10;TuJA5HwuKbcBAABVAwAADgAAAAAAAAABACAAAAAiAQAAZHJzL2Uyb0RvYy54bWxQSwUGAAAAAAYA&#10;BgBZAQAASwUAAAAA&#10;">
              <v:fill on="f" focussize="0,0"/>
              <v:stroke on="f" weight="1.25pt"/>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12</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63E"/>
    <w:rsid w:val="00002F45"/>
    <w:rsid w:val="00005B9C"/>
    <w:rsid w:val="000067DF"/>
    <w:rsid w:val="00010386"/>
    <w:rsid w:val="0001541D"/>
    <w:rsid w:val="00017106"/>
    <w:rsid w:val="00022737"/>
    <w:rsid w:val="000229BC"/>
    <w:rsid w:val="0002494A"/>
    <w:rsid w:val="00027493"/>
    <w:rsid w:val="00035DFB"/>
    <w:rsid w:val="00036CB2"/>
    <w:rsid w:val="00037FD2"/>
    <w:rsid w:val="000426C9"/>
    <w:rsid w:val="00047ABE"/>
    <w:rsid w:val="000505C9"/>
    <w:rsid w:val="00060616"/>
    <w:rsid w:val="00061F39"/>
    <w:rsid w:val="00062330"/>
    <w:rsid w:val="000642AF"/>
    <w:rsid w:val="00073027"/>
    <w:rsid w:val="0007353D"/>
    <w:rsid w:val="000742CD"/>
    <w:rsid w:val="00082DD7"/>
    <w:rsid w:val="00086572"/>
    <w:rsid w:val="000925D1"/>
    <w:rsid w:val="000A1FFA"/>
    <w:rsid w:val="000A2FD8"/>
    <w:rsid w:val="000A3AE5"/>
    <w:rsid w:val="000A419C"/>
    <w:rsid w:val="000A7C57"/>
    <w:rsid w:val="000B2C45"/>
    <w:rsid w:val="000C457D"/>
    <w:rsid w:val="000C5F3D"/>
    <w:rsid w:val="000C7270"/>
    <w:rsid w:val="000C7554"/>
    <w:rsid w:val="000D33DE"/>
    <w:rsid w:val="000D3CF2"/>
    <w:rsid w:val="000D7B9D"/>
    <w:rsid w:val="000E2646"/>
    <w:rsid w:val="000E4076"/>
    <w:rsid w:val="000E6457"/>
    <w:rsid w:val="000F155A"/>
    <w:rsid w:val="00101FBB"/>
    <w:rsid w:val="00104421"/>
    <w:rsid w:val="00105465"/>
    <w:rsid w:val="00111898"/>
    <w:rsid w:val="001118B8"/>
    <w:rsid w:val="00122D3E"/>
    <w:rsid w:val="00125BDF"/>
    <w:rsid w:val="00126A6D"/>
    <w:rsid w:val="00126EF0"/>
    <w:rsid w:val="00131D75"/>
    <w:rsid w:val="0013225E"/>
    <w:rsid w:val="00132C9B"/>
    <w:rsid w:val="00133AC0"/>
    <w:rsid w:val="00137B38"/>
    <w:rsid w:val="00143621"/>
    <w:rsid w:val="001449F9"/>
    <w:rsid w:val="00144F96"/>
    <w:rsid w:val="00147033"/>
    <w:rsid w:val="00147852"/>
    <w:rsid w:val="001537FD"/>
    <w:rsid w:val="00156E10"/>
    <w:rsid w:val="001632BF"/>
    <w:rsid w:val="001654E8"/>
    <w:rsid w:val="00165F2F"/>
    <w:rsid w:val="001721BB"/>
    <w:rsid w:val="00183ACC"/>
    <w:rsid w:val="00183FC6"/>
    <w:rsid w:val="00192861"/>
    <w:rsid w:val="00193497"/>
    <w:rsid w:val="001939CB"/>
    <w:rsid w:val="00194B64"/>
    <w:rsid w:val="001A1BA0"/>
    <w:rsid w:val="001A2843"/>
    <w:rsid w:val="001A6937"/>
    <w:rsid w:val="001B3326"/>
    <w:rsid w:val="001B6B89"/>
    <w:rsid w:val="001B7F00"/>
    <w:rsid w:val="001C434E"/>
    <w:rsid w:val="001D0515"/>
    <w:rsid w:val="001D33B6"/>
    <w:rsid w:val="001D38ED"/>
    <w:rsid w:val="001D5DF9"/>
    <w:rsid w:val="001E1763"/>
    <w:rsid w:val="001E4BBE"/>
    <w:rsid w:val="001F1E36"/>
    <w:rsid w:val="001F351B"/>
    <w:rsid w:val="00200A97"/>
    <w:rsid w:val="0020419F"/>
    <w:rsid w:val="00205041"/>
    <w:rsid w:val="00205A25"/>
    <w:rsid w:val="00207034"/>
    <w:rsid w:val="00214BC8"/>
    <w:rsid w:val="0021568F"/>
    <w:rsid w:val="0021573A"/>
    <w:rsid w:val="00215954"/>
    <w:rsid w:val="00215B57"/>
    <w:rsid w:val="0021677B"/>
    <w:rsid w:val="00217217"/>
    <w:rsid w:val="00226347"/>
    <w:rsid w:val="0022774F"/>
    <w:rsid w:val="00235FCD"/>
    <w:rsid w:val="0023749D"/>
    <w:rsid w:val="00240400"/>
    <w:rsid w:val="00242601"/>
    <w:rsid w:val="002434AC"/>
    <w:rsid w:val="00243603"/>
    <w:rsid w:val="00244580"/>
    <w:rsid w:val="00261FB7"/>
    <w:rsid w:val="00263975"/>
    <w:rsid w:val="00264557"/>
    <w:rsid w:val="00265206"/>
    <w:rsid w:val="002671E2"/>
    <w:rsid w:val="00270205"/>
    <w:rsid w:val="00271708"/>
    <w:rsid w:val="00287487"/>
    <w:rsid w:val="0029587A"/>
    <w:rsid w:val="00297667"/>
    <w:rsid w:val="002A0B64"/>
    <w:rsid w:val="002A4B8C"/>
    <w:rsid w:val="002A4CB0"/>
    <w:rsid w:val="002B4AA6"/>
    <w:rsid w:val="002B536B"/>
    <w:rsid w:val="002B61C5"/>
    <w:rsid w:val="002B6DD0"/>
    <w:rsid w:val="002C12E9"/>
    <w:rsid w:val="002C51BC"/>
    <w:rsid w:val="002D18BB"/>
    <w:rsid w:val="002D2267"/>
    <w:rsid w:val="002D277F"/>
    <w:rsid w:val="002D3B59"/>
    <w:rsid w:val="002D4123"/>
    <w:rsid w:val="002D5356"/>
    <w:rsid w:val="002D66EE"/>
    <w:rsid w:val="002E1E07"/>
    <w:rsid w:val="002E3981"/>
    <w:rsid w:val="002E3A95"/>
    <w:rsid w:val="002E7CAB"/>
    <w:rsid w:val="002F154B"/>
    <w:rsid w:val="002F240C"/>
    <w:rsid w:val="002F37D5"/>
    <w:rsid w:val="002F490A"/>
    <w:rsid w:val="002F71B4"/>
    <w:rsid w:val="003056D0"/>
    <w:rsid w:val="003071EA"/>
    <w:rsid w:val="00307E4C"/>
    <w:rsid w:val="00314363"/>
    <w:rsid w:val="00315408"/>
    <w:rsid w:val="00315FB5"/>
    <w:rsid w:val="003179C2"/>
    <w:rsid w:val="0032626E"/>
    <w:rsid w:val="003270C1"/>
    <w:rsid w:val="003272E5"/>
    <w:rsid w:val="0033055C"/>
    <w:rsid w:val="00330FC7"/>
    <w:rsid w:val="00331C21"/>
    <w:rsid w:val="003344A7"/>
    <w:rsid w:val="00336DDE"/>
    <w:rsid w:val="00340FF6"/>
    <w:rsid w:val="0034112B"/>
    <w:rsid w:val="003428C8"/>
    <w:rsid w:val="00343216"/>
    <w:rsid w:val="00344E88"/>
    <w:rsid w:val="0034701F"/>
    <w:rsid w:val="003470B0"/>
    <w:rsid w:val="0035070B"/>
    <w:rsid w:val="00354748"/>
    <w:rsid w:val="00357267"/>
    <w:rsid w:val="003604EF"/>
    <w:rsid w:val="00363979"/>
    <w:rsid w:val="00363B16"/>
    <w:rsid w:val="003654C5"/>
    <w:rsid w:val="003728E0"/>
    <w:rsid w:val="00377370"/>
    <w:rsid w:val="003802D0"/>
    <w:rsid w:val="00380F2D"/>
    <w:rsid w:val="0038408E"/>
    <w:rsid w:val="0038516E"/>
    <w:rsid w:val="00390240"/>
    <w:rsid w:val="00391105"/>
    <w:rsid w:val="00392003"/>
    <w:rsid w:val="003A2D68"/>
    <w:rsid w:val="003A3837"/>
    <w:rsid w:val="003A5062"/>
    <w:rsid w:val="003B0DAB"/>
    <w:rsid w:val="003B16CF"/>
    <w:rsid w:val="003B3B4F"/>
    <w:rsid w:val="003B6400"/>
    <w:rsid w:val="003C2057"/>
    <w:rsid w:val="003C569D"/>
    <w:rsid w:val="003C6A49"/>
    <w:rsid w:val="003C74DD"/>
    <w:rsid w:val="003C79F2"/>
    <w:rsid w:val="003C7DAD"/>
    <w:rsid w:val="003D1AD3"/>
    <w:rsid w:val="003D1F7C"/>
    <w:rsid w:val="003D34BD"/>
    <w:rsid w:val="003D7BDF"/>
    <w:rsid w:val="003E0C64"/>
    <w:rsid w:val="003E17D3"/>
    <w:rsid w:val="003E313E"/>
    <w:rsid w:val="003E4F1D"/>
    <w:rsid w:val="003E5F45"/>
    <w:rsid w:val="003E6854"/>
    <w:rsid w:val="003F1503"/>
    <w:rsid w:val="003F6757"/>
    <w:rsid w:val="00400520"/>
    <w:rsid w:val="00403154"/>
    <w:rsid w:val="00405C3B"/>
    <w:rsid w:val="004160B2"/>
    <w:rsid w:val="00423568"/>
    <w:rsid w:val="00424A2B"/>
    <w:rsid w:val="004252B3"/>
    <w:rsid w:val="004303D4"/>
    <w:rsid w:val="004308D6"/>
    <w:rsid w:val="00435ADF"/>
    <w:rsid w:val="00435F4C"/>
    <w:rsid w:val="004363D2"/>
    <w:rsid w:val="00443121"/>
    <w:rsid w:val="00443475"/>
    <w:rsid w:val="0045619A"/>
    <w:rsid w:val="00456788"/>
    <w:rsid w:val="00457C61"/>
    <w:rsid w:val="004640FD"/>
    <w:rsid w:val="0046540C"/>
    <w:rsid w:val="00470211"/>
    <w:rsid w:val="0047148C"/>
    <w:rsid w:val="0047244D"/>
    <w:rsid w:val="00472B83"/>
    <w:rsid w:val="00481CE8"/>
    <w:rsid w:val="00483046"/>
    <w:rsid w:val="00483B67"/>
    <w:rsid w:val="004879F0"/>
    <w:rsid w:val="004929BF"/>
    <w:rsid w:val="00492A63"/>
    <w:rsid w:val="004A01B4"/>
    <w:rsid w:val="004A1014"/>
    <w:rsid w:val="004A1800"/>
    <w:rsid w:val="004A3FB7"/>
    <w:rsid w:val="004A5B08"/>
    <w:rsid w:val="004B12F5"/>
    <w:rsid w:val="004B18E6"/>
    <w:rsid w:val="004B2DF4"/>
    <w:rsid w:val="004B32A8"/>
    <w:rsid w:val="004B4A4D"/>
    <w:rsid w:val="004B4DC2"/>
    <w:rsid w:val="004B721C"/>
    <w:rsid w:val="004B74AE"/>
    <w:rsid w:val="004C0F09"/>
    <w:rsid w:val="004C158D"/>
    <w:rsid w:val="004C3EE1"/>
    <w:rsid w:val="004D0614"/>
    <w:rsid w:val="004D3250"/>
    <w:rsid w:val="004E1BDB"/>
    <w:rsid w:val="004E61A9"/>
    <w:rsid w:val="004E6FF0"/>
    <w:rsid w:val="004F1E8A"/>
    <w:rsid w:val="004F2598"/>
    <w:rsid w:val="004F49DB"/>
    <w:rsid w:val="00500E50"/>
    <w:rsid w:val="00502B31"/>
    <w:rsid w:val="005048B6"/>
    <w:rsid w:val="00504E33"/>
    <w:rsid w:val="0050569E"/>
    <w:rsid w:val="00505F10"/>
    <w:rsid w:val="005066D7"/>
    <w:rsid w:val="00506788"/>
    <w:rsid w:val="00512017"/>
    <w:rsid w:val="00512481"/>
    <w:rsid w:val="00515002"/>
    <w:rsid w:val="00517AC5"/>
    <w:rsid w:val="00525ED6"/>
    <w:rsid w:val="00525F2F"/>
    <w:rsid w:val="00530511"/>
    <w:rsid w:val="00530C91"/>
    <w:rsid w:val="0053212F"/>
    <w:rsid w:val="00534A33"/>
    <w:rsid w:val="005367D5"/>
    <w:rsid w:val="005437A1"/>
    <w:rsid w:val="00544DE7"/>
    <w:rsid w:val="005509BC"/>
    <w:rsid w:val="00553C78"/>
    <w:rsid w:val="00556DD1"/>
    <w:rsid w:val="00560EF6"/>
    <w:rsid w:val="00572A81"/>
    <w:rsid w:val="00576D16"/>
    <w:rsid w:val="005814BD"/>
    <w:rsid w:val="00593540"/>
    <w:rsid w:val="005973AD"/>
    <w:rsid w:val="005A388C"/>
    <w:rsid w:val="005A39A5"/>
    <w:rsid w:val="005A6BAC"/>
    <w:rsid w:val="005B1FEC"/>
    <w:rsid w:val="005B550D"/>
    <w:rsid w:val="005C20BD"/>
    <w:rsid w:val="005C28F9"/>
    <w:rsid w:val="005C4E5C"/>
    <w:rsid w:val="005C6A78"/>
    <w:rsid w:val="005D0C36"/>
    <w:rsid w:val="005D1B1E"/>
    <w:rsid w:val="005D39E2"/>
    <w:rsid w:val="005D50AC"/>
    <w:rsid w:val="005E39DB"/>
    <w:rsid w:val="005E3EB3"/>
    <w:rsid w:val="005E7BCF"/>
    <w:rsid w:val="005F1377"/>
    <w:rsid w:val="005F2D77"/>
    <w:rsid w:val="005F71F5"/>
    <w:rsid w:val="006007EC"/>
    <w:rsid w:val="0060134A"/>
    <w:rsid w:val="00603D10"/>
    <w:rsid w:val="00604456"/>
    <w:rsid w:val="006056AE"/>
    <w:rsid w:val="006077B9"/>
    <w:rsid w:val="006102FC"/>
    <w:rsid w:val="00612A91"/>
    <w:rsid w:val="00613533"/>
    <w:rsid w:val="00626271"/>
    <w:rsid w:val="00627655"/>
    <w:rsid w:val="00631C9D"/>
    <w:rsid w:val="0063258F"/>
    <w:rsid w:val="00632D86"/>
    <w:rsid w:val="006330AF"/>
    <w:rsid w:val="00642290"/>
    <w:rsid w:val="00643CF0"/>
    <w:rsid w:val="0065225F"/>
    <w:rsid w:val="006564C2"/>
    <w:rsid w:val="0066543D"/>
    <w:rsid w:val="00665AA0"/>
    <w:rsid w:val="00671711"/>
    <w:rsid w:val="00672416"/>
    <w:rsid w:val="00672FBE"/>
    <w:rsid w:val="00674335"/>
    <w:rsid w:val="006871C2"/>
    <w:rsid w:val="00692BC9"/>
    <w:rsid w:val="00694B93"/>
    <w:rsid w:val="00696773"/>
    <w:rsid w:val="006A6F4E"/>
    <w:rsid w:val="006A7D56"/>
    <w:rsid w:val="006B0FC0"/>
    <w:rsid w:val="006B2D9E"/>
    <w:rsid w:val="006B629A"/>
    <w:rsid w:val="006C03B6"/>
    <w:rsid w:val="006C3230"/>
    <w:rsid w:val="006C62C7"/>
    <w:rsid w:val="006C686C"/>
    <w:rsid w:val="006C7E98"/>
    <w:rsid w:val="006D0318"/>
    <w:rsid w:val="006D0AEB"/>
    <w:rsid w:val="006D0C0A"/>
    <w:rsid w:val="006D10B1"/>
    <w:rsid w:val="006D1EF0"/>
    <w:rsid w:val="006D794A"/>
    <w:rsid w:val="006E576E"/>
    <w:rsid w:val="006E6C0F"/>
    <w:rsid w:val="006E6D88"/>
    <w:rsid w:val="006E7879"/>
    <w:rsid w:val="006F0663"/>
    <w:rsid w:val="006F2FA3"/>
    <w:rsid w:val="006F3100"/>
    <w:rsid w:val="006F5846"/>
    <w:rsid w:val="006F76F8"/>
    <w:rsid w:val="006F7AEA"/>
    <w:rsid w:val="00701716"/>
    <w:rsid w:val="00702CF2"/>
    <w:rsid w:val="0070354D"/>
    <w:rsid w:val="0071252C"/>
    <w:rsid w:val="007150DA"/>
    <w:rsid w:val="007204E5"/>
    <w:rsid w:val="00722747"/>
    <w:rsid w:val="00723933"/>
    <w:rsid w:val="00726D5E"/>
    <w:rsid w:val="00726E36"/>
    <w:rsid w:val="007274EC"/>
    <w:rsid w:val="0072790E"/>
    <w:rsid w:val="00727FC9"/>
    <w:rsid w:val="00733CF6"/>
    <w:rsid w:val="0073421F"/>
    <w:rsid w:val="00734876"/>
    <w:rsid w:val="00740354"/>
    <w:rsid w:val="0074040E"/>
    <w:rsid w:val="00742E19"/>
    <w:rsid w:val="0074527F"/>
    <w:rsid w:val="00747181"/>
    <w:rsid w:val="007608E2"/>
    <w:rsid w:val="00760C3B"/>
    <w:rsid w:val="00763FFB"/>
    <w:rsid w:val="007655F2"/>
    <w:rsid w:val="00766324"/>
    <w:rsid w:val="00777B34"/>
    <w:rsid w:val="007843E9"/>
    <w:rsid w:val="00784740"/>
    <w:rsid w:val="00787817"/>
    <w:rsid w:val="00791051"/>
    <w:rsid w:val="00793152"/>
    <w:rsid w:val="007A16BE"/>
    <w:rsid w:val="007A18C4"/>
    <w:rsid w:val="007A5A87"/>
    <w:rsid w:val="007A6F5E"/>
    <w:rsid w:val="007A74CF"/>
    <w:rsid w:val="007B13E6"/>
    <w:rsid w:val="007B15BC"/>
    <w:rsid w:val="007B3724"/>
    <w:rsid w:val="007B56AC"/>
    <w:rsid w:val="007C0D56"/>
    <w:rsid w:val="007C1CBC"/>
    <w:rsid w:val="007C44F1"/>
    <w:rsid w:val="007D00A4"/>
    <w:rsid w:val="007D0E99"/>
    <w:rsid w:val="007D2E2E"/>
    <w:rsid w:val="007D49C8"/>
    <w:rsid w:val="007D668F"/>
    <w:rsid w:val="007D6FB4"/>
    <w:rsid w:val="007D7400"/>
    <w:rsid w:val="007E390F"/>
    <w:rsid w:val="007E4606"/>
    <w:rsid w:val="007E7881"/>
    <w:rsid w:val="008003A6"/>
    <w:rsid w:val="008003E0"/>
    <w:rsid w:val="0080090A"/>
    <w:rsid w:val="00805110"/>
    <w:rsid w:val="00807734"/>
    <w:rsid w:val="008108D9"/>
    <w:rsid w:val="00810EEC"/>
    <w:rsid w:val="00813276"/>
    <w:rsid w:val="008132F0"/>
    <w:rsid w:val="0081497E"/>
    <w:rsid w:val="00817EAE"/>
    <w:rsid w:val="008239AC"/>
    <w:rsid w:val="008241B7"/>
    <w:rsid w:val="0082433F"/>
    <w:rsid w:val="00831A72"/>
    <w:rsid w:val="0083248E"/>
    <w:rsid w:val="00832B5C"/>
    <w:rsid w:val="00834E1B"/>
    <w:rsid w:val="00837027"/>
    <w:rsid w:val="008376E1"/>
    <w:rsid w:val="0084113F"/>
    <w:rsid w:val="00845C20"/>
    <w:rsid w:val="00846D6C"/>
    <w:rsid w:val="008472C6"/>
    <w:rsid w:val="00850090"/>
    <w:rsid w:val="008505E9"/>
    <w:rsid w:val="0086107A"/>
    <w:rsid w:val="00864675"/>
    <w:rsid w:val="008702E0"/>
    <w:rsid w:val="00872385"/>
    <w:rsid w:val="00872599"/>
    <w:rsid w:val="00873441"/>
    <w:rsid w:val="008742E8"/>
    <w:rsid w:val="00874D05"/>
    <w:rsid w:val="00875C80"/>
    <w:rsid w:val="00877E62"/>
    <w:rsid w:val="00880084"/>
    <w:rsid w:val="0088556C"/>
    <w:rsid w:val="00886CAD"/>
    <w:rsid w:val="008918C1"/>
    <w:rsid w:val="008A014D"/>
    <w:rsid w:val="008A1FE3"/>
    <w:rsid w:val="008A2991"/>
    <w:rsid w:val="008A35F8"/>
    <w:rsid w:val="008A5726"/>
    <w:rsid w:val="008A710E"/>
    <w:rsid w:val="008A74A0"/>
    <w:rsid w:val="008B67C8"/>
    <w:rsid w:val="008C1078"/>
    <w:rsid w:val="008C28FC"/>
    <w:rsid w:val="008C44CC"/>
    <w:rsid w:val="008C493E"/>
    <w:rsid w:val="008C7102"/>
    <w:rsid w:val="008D12E2"/>
    <w:rsid w:val="008D16D3"/>
    <w:rsid w:val="008D2224"/>
    <w:rsid w:val="008D407F"/>
    <w:rsid w:val="008D6236"/>
    <w:rsid w:val="008E13CD"/>
    <w:rsid w:val="008E1C17"/>
    <w:rsid w:val="008E3D10"/>
    <w:rsid w:val="008F1853"/>
    <w:rsid w:val="008F396B"/>
    <w:rsid w:val="008F5999"/>
    <w:rsid w:val="00900F3A"/>
    <w:rsid w:val="00903DB0"/>
    <w:rsid w:val="009053B7"/>
    <w:rsid w:val="00905408"/>
    <w:rsid w:val="0090596D"/>
    <w:rsid w:val="00916226"/>
    <w:rsid w:val="009208F6"/>
    <w:rsid w:val="00921C65"/>
    <w:rsid w:val="009240EF"/>
    <w:rsid w:val="00924CD0"/>
    <w:rsid w:val="0092744D"/>
    <w:rsid w:val="00931831"/>
    <w:rsid w:val="00931BB5"/>
    <w:rsid w:val="00933E1B"/>
    <w:rsid w:val="00942E6E"/>
    <w:rsid w:val="00946B9A"/>
    <w:rsid w:val="00946F13"/>
    <w:rsid w:val="00950264"/>
    <w:rsid w:val="009534B2"/>
    <w:rsid w:val="009545C0"/>
    <w:rsid w:val="009552F4"/>
    <w:rsid w:val="00963621"/>
    <w:rsid w:val="00966AE3"/>
    <w:rsid w:val="00966EC5"/>
    <w:rsid w:val="00974228"/>
    <w:rsid w:val="00974A15"/>
    <w:rsid w:val="00977723"/>
    <w:rsid w:val="00981DE0"/>
    <w:rsid w:val="00982BCC"/>
    <w:rsid w:val="00985826"/>
    <w:rsid w:val="00991BC7"/>
    <w:rsid w:val="00992F15"/>
    <w:rsid w:val="00996987"/>
    <w:rsid w:val="009A0DAE"/>
    <w:rsid w:val="009A50E1"/>
    <w:rsid w:val="009A5BC0"/>
    <w:rsid w:val="009A68A2"/>
    <w:rsid w:val="009A68EC"/>
    <w:rsid w:val="009B0DA0"/>
    <w:rsid w:val="009B18D7"/>
    <w:rsid w:val="009B207C"/>
    <w:rsid w:val="009B4149"/>
    <w:rsid w:val="009B4523"/>
    <w:rsid w:val="009B5506"/>
    <w:rsid w:val="009B7F26"/>
    <w:rsid w:val="009C23DB"/>
    <w:rsid w:val="009C24E9"/>
    <w:rsid w:val="009C25F6"/>
    <w:rsid w:val="009C46D6"/>
    <w:rsid w:val="009C7755"/>
    <w:rsid w:val="009D120A"/>
    <w:rsid w:val="009D1CCA"/>
    <w:rsid w:val="009D218A"/>
    <w:rsid w:val="009D4669"/>
    <w:rsid w:val="009D7AE8"/>
    <w:rsid w:val="009E2399"/>
    <w:rsid w:val="009E49F6"/>
    <w:rsid w:val="009F3F18"/>
    <w:rsid w:val="009F6D2E"/>
    <w:rsid w:val="009F763E"/>
    <w:rsid w:val="00A06C76"/>
    <w:rsid w:val="00A06ED2"/>
    <w:rsid w:val="00A12DD4"/>
    <w:rsid w:val="00A21BA1"/>
    <w:rsid w:val="00A23602"/>
    <w:rsid w:val="00A253B7"/>
    <w:rsid w:val="00A25F0D"/>
    <w:rsid w:val="00A32B42"/>
    <w:rsid w:val="00A336AE"/>
    <w:rsid w:val="00A33D06"/>
    <w:rsid w:val="00A36D4B"/>
    <w:rsid w:val="00A45178"/>
    <w:rsid w:val="00A462B6"/>
    <w:rsid w:val="00A46B5C"/>
    <w:rsid w:val="00A47729"/>
    <w:rsid w:val="00A47757"/>
    <w:rsid w:val="00A50457"/>
    <w:rsid w:val="00A51B59"/>
    <w:rsid w:val="00A5544E"/>
    <w:rsid w:val="00A568B9"/>
    <w:rsid w:val="00A57992"/>
    <w:rsid w:val="00A60FC0"/>
    <w:rsid w:val="00A66601"/>
    <w:rsid w:val="00A66D12"/>
    <w:rsid w:val="00A71EF3"/>
    <w:rsid w:val="00A74C82"/>
    <w:rsid w:val="00A87422"/>
    <w:rsid w:val="00A87775"/>
    <w:rsid w:val="00A91208"/>
    <w:rsid w:val="00A92184"/>
    <w:rsid w:val="00A92CAA"/>
    <w:rsid w:val="00A937A4"/>
    <w:rsid w:val="00AA2C29"/>
    <w:rsid w:val="00AA3D1E"/>
    <w:rsid w:val="00AA51B2"/>
    <w:rsid w:val="00AA77F6"/>
    <w:rsid w:val="00AB07B9"/>
    <w:rsid w:val="00AB38D6"/>
    <w:rsid w:val="00AB7471"/>
    <w:rsid w:val="00AC4429"/>
    <w:rsid w:val="00AC56FA"/>
    <w:rsid w:val="00AC5BD9"/>
    <w:rsid w:val="00AC7A4A"/>
    <w:rsid w:val="00AD4D6E"/>
    <w:rsid w:val="00AD652F"/>
    <w:rsid w:val="00AD6BED"/>
    <w:rsid w:val="00AE4AC9"/>
    <w:rsid w:val="00AE67D3"/>
    <w:rsid w:val="00AE6CF4"/>
    <w:rsid w:val="00AE741A"/>
    <w:rsid w:val="00AE787D"/>
    <w:rsid w:val="00AE7DDE"/>
    <w:rsid w:val="00AF0C17"/>
    <w:rsid w:val="00AF2045"/>
    <w:rsid w:val="00AF42A7"/>
    <w:rsid w:val="00AF7594"/>
    <w:rsid w:val="00B02676"/>
    <w:rsid w:val="00B059E7"/>
    <w:rsid w:val="00B074FB"/>
    <w:rsid w:val="00B12940"/>
    <w:rsid w:val="00B1464B"/>
    <w:rsid w:val="00B159DB"/>
    <w:rsid w:val="00B16FCD"/>
    <w:rsid w:val="00B21B62"/>
    <w:rsid w:val="00B22327"/>
    <w:rsid w:val="00B230E0"/>
    <w:rsid w:val="00B2419A"/>
    <w:rsid w:val="00B26AFE"/>
    <w:rsid w:val="00B3113B"/>
    <w:rsid w:val="00B327F4"/>
    <w:rsid w:val="00B40FD9"/>
    <w:rsid w:val="00B51989"/>
    <w:rsid w:val="00B5418D"/>
    <w:rsid w:val="00B56BA8"/>
    <w:rsid w:val="00B60D37"/>
    <w:rsid w:val="00B60EDB"/>
    <w:rsid w:val="00B63DB2"/>
    <w:rsid w:val="00B64746"/>
    <w:rsid w:val="00B666D6"/>
    <w:rsid w:val="00B6732F"/>
    <w:rsid w:val="00B73C7B"/>
    <w:rsid w:val="00B7631C"/>
    <w:rsid w:val="00B764CA"/>
    <w:rsid w:val="00B82343"/>
    <w:rsid w:val="00B85395"/>
    <w:rsid w:val="00B87EC0"/>
    <w:rsid w:val="00B87EC7"/>
    <w:rsid w:val="00B910EE"/>
    <w:rsid w:val="00B95ECA"/>
    <w:rsid w:val="00BA4205"/>
    <w:rsid w:val="00BA5220"/>
    <w:rsid w:val="00BC183E"/>
    <w:rsid w:val="00BC330C"/>
    <w:rsid w:val="00BC5B0F"/>
    <w:rsid w:val="00BC65E1"/>
    <w:rsid w:val="00BC6FD6"/>
    <w:rsid w:val="00BD6887"/>
    <w:rsid w:val="00BD716D"/>
    <w:rsid w:val="00BE02D0"/>
    <w:rsid w:val="00BE0B43"/>
    <w:rsid w:val="00BE1088"/>
    <w:rsid w:val="00BE4F84"/>
    <w:rsid w:val="00BF450C"/>
    <w:rsid w:val="00BF6D37"/>
    <w:rsid w:val="00BF7467"/>
    <w:rsid w:val="00BF78F3"/>
    <w:rsid w:val="00C0043A"/>
    <w:rsid w:val="00C03C43"/>
    <w:rsid w:val="00C05160"/>
    <w:rsid w:val="00C06192"/>
    <w:rsid w:val="00C07109"/>
    <w:rsid w:val="00C07422"/>
    <w:rsid w:val="00C1554C"/>
    <w:rsid w:val="00C15B33"/>
    <w:rsid w:val="00C17B72"/>
    <w:rsid w:val="00C2098C"/>
    <w:rsid w:val="00C2101F"/>
    <w:rsid w:val="00C24739"/>
    <w:rsid w:val="00C30664"/>
    <w:rsid w:val="00C31F1D"/>
    <w:rsid w:val="00C33E16"/>
    <w:rsid w:val="00C45A66"/>
    <w:rsid w:val="00C50606"/>
    <w:rsid w:val="00C542DF"/>
    <w:rsid w:val="00C559BA"/>
    <w:rsid w:val="00C57E57"/>
    <w:rsid w:val="00C62D3E"/>
    <w:rsid w:val="00C649AF"/>
    <w:rsid w:val="00C66867"/>
    <w:rsid w:val="00C726A7"/>
    <w:rsid w:val="00C7499E"/>
    <w:rsid w:val="00C81C90"/>
    <w:rsid w:val="00C84A99"/>
    <w:rsid w:val="00C9070F"/>
    <w:rsid w:val="00C91888"/>
    <w:rsid w:val="00C93B80"/>
    <w:rsid w:val="00C948DD"/>
    <w:rsid w:val="00C97D18"/>
    <w:rsid w:val="00CA1F15"/>
    <w:rsid w:val="00CA2F33"/>
    <w:rsid w:val="00CA734C"/>
    <w:rsid w:val="00CB0134"/>
    <w:rsid w:val="00CB0D7A"/>
    <w:rsid w:val="00CB4987"/>
    <w:rsid w:val="00CB62BD"/>
    <w:rsid w:val="00CB6533"/>
    <w:rsid w:val="00CC508F"/>
    <w:rsid w:val="00CC6CCB"/>
    <w:rsid w:val="00CD2D17"/>
    <w:rsid w:val="00CE2AAC"/>
    <w:rsid w:val="00CE2F7B"/>
    <w:rsid w:val="00CE319C"/>
    <w:rsid w:val="00CE4DF8"/>
    <w:rsid w:val="00CF01FD"/>
    <w:rsid w:val="00CF4A67"/>
    <w:rsid w:val="00CF5B20"/>
    <w:rsid w:val="00CF7578"/>
    <w:rsid w:val="00D032B3"/>
    <w:rsid w:val="00D06D6F"/>
    <w:rsid w:val="00D075E2"/>
    <w:rsid w:val="00D10522"/>
    <w:rsid w:val="00D1070F"/>
    <w:rsid w:val="00D12138"/>
    <w:rsid w:val="00D1614D"/>
    <w:rsid w:val="00D1759D"/>
    <w:rsid w:val="00D21632"/>
    <w:rsid w:val="00D24A22"/>
    <w:rsid w:val="00D2549B"/>
    <w:rsid w:val="00D26299"/>
    <w:rsid w:val="00D36400"/>
    <w:rsid w:val="00D3678E"/>
    <w:rsid w:val="00D36F49"/>
    <w:rsid w:val="00D423CF"/>
    <w:rsid w:val="00D447EF"/>
    <w:rsid w:val="00D46A68"/>
    <w:rsid w:val="00D47D27"/>
    <w:rsid w:val="00D53E45"/>
    <w:rsid w:val="00D54444"/>
    <w:rsid w:val="00D54A99"/>
    <w:rsid w:val="00D61ABC"/>
    <w:rsid w:val="00D63036"/>
    <w:rsid w:val="00D725A0"/>
    <w:rsid w:val="00D72AB4"/>
    <w:rsid w:val="00D76239"/>
    <w:rsid w:val="00D80928"/>
    <w:rsid w:val="00D841F9"/>
    <w:rsid w:val="00D90A95"/>
    <w:rsid w:val="00D9157B"/>
    <w:rsid w:val="00D927B8"/>
    <w:rsid w:val="00D93B00"/>
    <w:rsid w:val="00D95627"/>
    <w:rsid w:val="00DA3862"/>
    <w:rsid w:val="00DB1568"/>
    <w:rsid w:val="00DB186A"/>
    <w:rsid w:val="00DB21F6"/>
    <w:rsid w:val="00DC0F4B"/>
    <w:rsid w:val="00DC48EE"/>
    <w:rsid w:val="00DD3636"/>
    <w:rsid w:val="00DD51BA"/>
    <w:rsid w:val="00DD56CE"/>
    <w:rsid w:val="00DD5F3C"/>
    <w:rsid w:val="00DE313D"/>
    <w:rsid w:val="00DE37A4"/>
    <w:rsid w:val="00DF3407"/>
    <w:rsid w:val="00DF4E6C"/>
    <w:rsid w:val="00DF4FF5"/>
    <w:rsid w:val="00DF63B7"/>
    <w:rsid w:val="00DF7FB0"/>
    <w:rsid w:val="00E01339"/>
    <w:rsid w:val="00E05929"/>
    <w:rsid w:val="00E06571"/>
    <w:rsid w:val="00E101CD"/>
    <w:rsid w:val="00E106A2"/>
    <w:rsid w:val="00E10DEA"/>
    <w:rsid w:val="00E1341F"/>
    <w:rsid w:val="00E14BFB"/>
    <w:rsid w:val="00E16038"/>
    <w:rsid w:val="00E1700F"/>
    <w:rsid w:val="00E2430C"/>
    <w:rsid w:val="00E345A8"/>
    <w:rsid w:val="00E35448"/>
    <w:rsid w:val="00E36334"/>
    <w:rsid w:val="00E44A6D"/>
    <w:rsid w:val="00E4707E"/>
    <w:rsid w:val="00E4738B"/>
    <w:rsid w:val="00E50D40"/>
    <w:rsid w:val="00E564E9"/>
    <w:rsid w:val="00E62DA9"/>
    <w:rsid w:val="00E65B4C"/>
    <w:rsid w:val="00E66590"/>
    <w:rsid w:val="00E6702F"/>
    <w:rsid w:val="00E7075F"/>
    <w:rsid w:val="00E72835"/>
    <w:rsid w:val="00E76FF0"/>
    <w:rsid w:val="00E966FD"/>
    <w:rsid w:val="00E97DAC"/>
    <w:rsid w:val="00EA413A"/>
    <w:rsid w:val="00EA7465"/>
    <w:rsid w:val="00EB043B"/>
    <w:rsid w:val="00EB622E"/>
    <w:rsid w:val="00EB7FA2"/>
    <w:rsid w:val="00EC43C3"/>
    <w:rsid w:val="00ED794E"/>
    <w:rsid w:val="00EE1D06"/>
    <w:rsid w:val="00EE437A"/>
    <w:rsid w:val="00EF0CC9"/>
    <w:rsid w:val="00EF1423"/>
    <w:rsid w:val="00EF1E70"/>
    <w:rsid w:val="00EF4831"/>
    <w:rsid w:val="00EF6438"/>
    <w:rsid w:val="00F04102"/>
    <w:rsid w:val="00F07C5C"/>
    <w:rsid w:val="00F116CB"/>
    <w:rsid w:val="00F11BFA"/>
    <w:rsid w:val="00F12A5C"/>
    <w:rsid w:val="00F13EFC"/>
    <w:rsid w:val="00F22CE2"/>
    <w:rsid w:val="00F35DFE"/>
    <w:rsid w:val="00F3725D"/>
    <w:rsid w:val="00F37CD8"/>
    <w:rsid w:val="00F37D95"/>
    <w:rsid w:val="00F37F61"/>
    <w:rsid w:val="00F409C4"/>
    <w:rsid w:val="00F41251"/>
    <w:rsid w:val="00F51C5D"/>
    <w:rsid w:val="00F64411"/>
    <w:rsid w:val="00F71493"/>
    <w:rsid w:val="00F75C14"/>
    <w:rsid w:val="00F8051E"/>
    <w:rsid w:val="00F8384E"/>
    <w:rsid w:val="00F92739"/>
    <w:rsid w:val="00F93CFF"/>
    <w:rsid w:val="00FA0040"/>
    <w:rsid w:val="00FA2F99"/>
    <w:rsid w:val="00FA61F0"/>
    <w:rsid w:val="00FA70E5"/>
    <w:rsid w:val="00FB0D89"/>
    <w:rsid w:val="00FB2B98"/>
    <w:rsid w:val="00FB785D"/>
    <w:rsid w:val="00FC1D4E"/>
    <w:rsid w:val="00FC4646"/>
    <w:rsid w:val="00FC4E15"/>
    <w:rsid w:val="00FD0977"/>
    <w:rsid w:val="00FD5F6D"/>
    <w:rsid w:val="00FD6927"/>
    <w:rsid w:val="00FE3104"/>
    <w:rsid w:val="00FE37F0"/>
    <w:rsid w:val="00FE6B7E"/>
    <w:rsid w:val="00FF2020"/>
    <w:rsid w:val="00FF64A3"/>
    <w:rsid w:val="00FF7B19"/>
    <w:rsid w:val="010B7ACD"/>
    <w:rsid w:val="019247D4"/>
    <w:rsid w:val="01A12183"/>
    <w:rsid w:val="01A50454"/>
    <w:rsid w:val="01A83396"/>
    <w:rsid w:val="01C25125"/>
    <w:rsid w:val="01D41B3A"/>
    <w:rsid w:val="01E03ECE"/>
    <w:rsid w:val="01E134DC"/>
    <w:rsid w:val="01FB252F"/>
    <w:rsid w:val="0201437E"/>
    <w:rsid w:val="023B6897"/>
    <w:rsid w:val="02557834"/>
    <w:rsid w:val="0270358C"/>
    <w:rsid w:val="028E6F50"/>
    <w:rsid w:val="02C01CD0"/>
    <w:rsid w:val="02E8072C"/>
    <w:rsid w:val="02EF3CE5"/>
    <w:rsid w:val="02F06F1A"/>
    <w:rsid w:val="02F21FD4"/>
    <w:rsid w:val="02FC5867"/>
    <w:rsid w:val="03140E37"/>
    <w:rsid w:val="03190045"/>
    <w:rsid w:val="031A48FA"/>
    <w:rsid w:val="03286A2B"/>
    <w:rsid w:val="035537CF"/>
    <w:rsid w:val="035E7284"/>
    <w:rsid w:val="03600087"/>
    <w:rsid w:val="036A23E3"/>
    <w:rsid w:val="037D1098"/>
    <w:rsid w:val="03A64106"/>
    <w:rsid w:val="03D83736"/>
    <w:rsid w:val="03E42C19"/>
    <w:rsid w:val="04181D74"/>
    <w:rsid w:val="04193666"/>
    <w:rsid w:val="0422224B"/>
    <w:rsid w:val="042D0A8D"/>
    <w:rsid w:val="04355A80"/>
    <w:rsid w:val="047E7926"/>
    <w:rsid w:val="04A75769"/>
    <w:rsid w:val="04CC498C"/>
    <w:rsid w:val="04EB1B2B"/>
    <w:rsid w:val="04FB400C"/>
    <w:rsid w:val="05012ECF"/>
    <w:rsid w:val="05074C10"/>
    <w:rsid w:val="0515099E"/>
    <w:rsid w:val="0518435C"/>
    <w:rsid w:val="051C6822"/>
    <w:rsid w:val="05204B50"/>
    <w:rsid w:val="0521566A"/>
    <w:rsid w:val="05241645"/>
    <w:rsid w:val="05594814"/>
    <w:rsid w:val="057029B8"/>
    <w:rsid w:val="05842852"/>
    <w:rsid w:val="0588260C"/>
    <w:rsid w:val="058A221B"/>
    <w:rsid w:val="05AA29D1"/>
    <w:rsid w:val="05AF3D7D"/>
    <w:rsid w:val="05C41CF5"/>
    <w:rsid w:val="05D52EAA"/>
    <w:rsid w:val="05FB6057"/>
    <w:rsid w:val="0604138F"/>
    <w:rsid w:val="06243CEF"/>
    <w:rsid w:val="062B1D06"/>
    <w:rsid w:val="063F7836"/>
    <w:rsid w:val="0652331E"/>
    <w:rsid w:val="06663888"/>
    <w:rsid w:val="0675164D"/>
    <w:rsid w:val="06826F88"/>
    <w:rsid w:val="06880E6C"/>
    <w:rsid w:val="06AE3166"/>
    <w:rsid w:val="06DF6D0B"/>
    <w:rsid w:val="06F21C4A"/>
    <w:rsid w:val="070976E5"/>
    <w:rsid w:val="0728285E"/>
    <w:rsid w:val="07335F3D"/>
    <w:rsid w:val="07412107"/>
    <w:rsid w:val="076D6989"/>
    <w:rsid w:val="07905DED"/>
    <w:rsid w:val="07937C89"/>
    <w:rsid w:val="079D0B28"/>
    <w:rsid w:val="07B468CA"/>
    <w:rsid w:val="07BA5712"/>
    <w:rsid w:val="07C94777"/>
    <w:rsid w:val="07D80CE8"/>
    <w:rsid w:val="07EF0429"/>
    <w:rsid w:val="08045020"/>
    <w:rsid w:val="08150AF0"/>
    <w:rsid w:val="081D6339"/>
    <w:rsid w:val="082B4C85"/>
    <w:rsid w:val="082F3281"/>
    <w:rsid w:val="088E34CE"/>
    <w:rsid w:val="089229FA"/>
    <w:rsid w:val="08996DC1"/>
    <w:rsid w:val="08A36B2C"/>
    <w:rsid w:val="08B1345A"/>
    <w:rsid w:val="08B35F48"/>
    <w:rsid w:val="08C7572C"/>
    <w:rsid w:val="08CB48E2"/>
    <w:rsid w:val="08E2113F"/>
    <w:rsid w:val="08EA2BF5"/>
    <w:rsid w:val="091E6158"/>
    <w:rsid w:val="09327EBE"/>
    <w:rsid w:val="093306ED"/>
    <w:rsid w:val="09464C0E"/>
    <w:rsid w:val="094C1D4B"/>
    <w:rsid w:val="09693051"/>
    <w:rsid w:val="09880BAF"/>
    <w:rsid w:val="098E29B5"/>
    <w:rsid w:val="0993142B"/>
    <w:rsid w:val="099963AD"/>
    <w:rsid w:val="09AA38E7"/>
    <w:rsid w:val="09C2736B"/>
    <w:rsid w:val="0A0C4A6C"/>
    <w:rsid w:val="0A1B0AE4"/>
    <w:rsid w:val="0A5E3A9A"/>
    <w:rsid w:val="0A764B72"/>
    <w:rsid w:val="0AB12AB1"/>
    <w:rsid w:val="0AC35883"/>
    <w:rsid w:val="0AD114B5"/>
    <w:rsid w:val="0AD37A9D"/>
    <w:rsid w:val="0ADC6137"/>
    <w:rsid w:val="0AE27F09"/>
    <w:rsid w:val="0AEC183C"/>
    <w:rsid w:val="0AF72900"/>
    <w:rsid w:val="0B2E58ED"/>
    <w:rsid w:val="0B307A59"/>
    <w:rsid w:val="0B3134DD"/>
    <w:rsid w:val="0B3F4F48"/>
    <w:rsid w:val="0B526021"/>
    <w:rsid w:val="0B5C03EB"/>
    <w:rsid w:val="0B5C49ED"/>
    <w:rsid w:val="0BA467EC"/>
    <w:rsid w:val="0BA555DE"/>
    <w:rsid w:val="0BB07361"/>
    <w:rsid w:val="0BB31C8E"/>
    <w:rsid w:val="0BDA41E6"/>
    <w:rsid w:val="0BE24E4B"/>
    <w:rsid w:val="0C024256"/>
    <w:rsid w:val="0C174783"/>
    <w:rsid w:val="0C191073"/>
    <w:rsid w:val="0C252860"/>
    <w:rsid w:val="0C4C192D"/>
    <w:rsid w:val="0C5A5D20"/>
    <w:rsid w:val="0C6D0C49"/>
    <w:rsid w:val="0C747FFC"/>
    <w:rsid w:val="0CA26852"/>
    <w:rsid w:val="0CC85BED"/>
    <w:rsid w:val="0CDC548A"/>
    <w:rsid w:val="0CDF0473"/>
    <w:rsid w:val="0CE07CAC"/>
    <w:rsid w:val="0CFD2054"/>
    <w:rsid w:val="0D654AC3"/>
    <w:rsid w:val="0D953453"/>
    <w:rsid w:val="0D9D22F4"/>
    <w:rsid w:val="0D9D504B"/>
    <w:rsid w:val="0DB80964"/>
    <w:rsid w:val="0DCE26C1"/>
    <w:rsid w:val="0DDA393C"/>
    <w:rsid w:val="0DE045FE"/>
    <w:rsid w:val="0DE05AB3"/>
    <w:rsid w:val="0DE73BB5"/>
    <w:rsid w:val="0E01748E"/>
    <w:rsid w:val="0E1722D9"/>
    <w:rsid w:val="0E4303B9"/>
    <w:rsid w:val="0E797565"/>
    <w:rsid w:val="0EF6136F"/>
    <w:rsid w:val="0F0F40D5"/>
    <w:rsid w:val="0F191190"/>
    <w:rsid w:val="0F1A197E"/>
    <w:rsid w:val="0F2E6C91"/>
    <w:rsid w:val="0F43756E"/>
    <w:rsid w:val="0F514121"/>
    <w:rsid w:val="0F5C12E7"/>
    <w:rsid w:val="0F626B98"/>
    <w:rsid w:val="0F6D2F82"/>
    <w:rsid w:val="0F7E4D5C"/>
    <w:rsid w:val="0F807F83"/>
    <w:rsid w:val="0F8C0AEB"/>
    <w:rsid w:val="0F94194E"/>
    <w:rsid w:val="0FC63A2B"/>
    <w:rsid w:val="0FDD712F"/>
    <w:rsid w:val="0FF767FB"/>
    <w:rsid w:val="1011429E"/>
    <w:rsid w:val="10240356"/>
    <w:rsid w:val="105A332E"/>
    <w:rsid w:val="10895CFA"/>
    <w:rsid w:val="10941CBF"/>
    <w:rsid w:val="10A04E05"/>
    <w:rsid w:val="10BF5EEA"/>
    <w:rsid w:val="10DC27ED"/>
    <w:rsid w:val="10E53F79"/>
    <w:rsid w:val="110D5FA2"/>
    <w:rsid w:val="11347358"/>
    <w:rsid w:val="113542DA"/>
    <w:rsid w:val="114451CD"/>
    <w:rsid w:val="11526F6E"/>
    <w:rsid w:val="11593C6D"/>
    <w:rsid w:val="115F3866"/>
    <w:rsid w:val="115F6313"/>
    <w:rsid w:val="116007EE"/>
    <w:rsid w:val="11695D97"/>
    <w:rsid w:val="11AF3249"/>
    <w:rsid w:val="11ED42A5"/>
    <w:rsid w:val="12091C81"/>
    <w:rsid w:val="12247846"/>
    <w:rsid w:val="12390BC0"/>
    <w:rsid w:val="126D17B1"/>
    <w:rsid w:val="12F72EB2"/>
    <w:rsid w:val="12FD1E0D"/>
    <w:rsid w:val="135C125C"/>
    <w:rsid w:val="135F7438"/>
    <w:rsid w:val="137172AE"/>
    <w:rsid w:val="137A6004"/>
    <w:rsid w:val="139E4F87"/>
    <w:rsid w:val="13D10D24"/>
    <w:rsid w:val="13E06D2A"/>
    <w:rsid w:val="13E15746"/>
    <w:rsid w:val="13E41CC6"/>
    <w:rsid w:val="13E90311"/>
    <w:rsid w:val="14104CB2"/>
    <w:rsid w:val="141B2CBC"/>
    <w:rsid w:val="14365780"/>
    <w:rsid w:val="143F6C22"/>
    <w:rsid w:val="144521CE"/>
    <w:rsid w:val="145634C5"/>
    <w:rsid w:val="145717F2"/>
    <w:rsid w:val="14592317"/>
    <w:rsid w:val="145B5BF5"/>
    <w:rsid w:val="146F63E2"/>
    <w:rsid w:val="14727988"/>
    <w:rsid w:val="1498771B"/>
    <w:rsid w:val="149D6644"/>
    <w:rsid w:val="14B06397"/>
    <w:rsid w:val="14EA37B6"/>
    <w:rsid w:val="15132DD1"/>
    <w:rsid w:val="15300CE4"/>
    <w:rsid w:val="153B5C6B"/>
    <w:rsid w:val="15435CA5"/>
    <w:rsid w:val="15974712"/>
    <w:rsid w:val="15A77186"/>
    <w:rsid w:val="15AC0E2C"/>
    <w:rsid w:val="15AD10DD"/>
    <w:rsid w:val="15C63B40"/>
    <w:rsid w:val="160803D4"/>
    <w:rsid w:val="16146361"/>
    <w:rsid w:val="161E29A7"/>
    <w:rsid w:val="16643747"/>
    <w:rsid w:val="16666177"/>
    <w:rsid w:val="16866C1F"/>
    <w:rsid w:val="168A6D71"/>
    <w:rsid w:val="16BA5086"/>
    <w:rsid w:val="16C0643C"/>
    <w:rsid w:val="16EA1FC1"/>
    <w:rsid w:val="16F81EC9"/>
    <w:rsid w:val="16FB2E72"/>
    <w:rsid w:val="171B7FF9"/>
    <w:rsid w:val="175474C0"/>
    <w:rsid w:val="17562852"/>
    <w:rsid w:val="175C05ED"/>
    <w:rsid w:val="176A3655"/>
    <w:rsid w:val="17720C40"/>
    <w:rsid w:val="177B5F5D"/>
    <w:rsid w:val="178C6006"/>
    <w:rsid w:val="178D303E"/>
    <w:rsid w:val="17A1415F"/>
    <w:rsid w:val="17A6592D"/>
    <w:rsid w:val="17C01A36"/>
    <w:rsid w:val="17C57765"/>
    <w:rsid w:val="180E20E5"/>
    <w:rsid w:val="185E568E"/>
    <w:rsid w:val="18950A4F"/>
    <w:rsid w:val="189524AA"/>
    <w:rsid w:val="18A34B15"/>
    <w:rsid w:val="18B87BF4"/>
    <w:rsid w:val="18D0535C"/>
    <w:rsid w:val="18D20B5D"/>
    <w:rsid w:val="18E20184"/>
    <w:rsid w:val="18E34AD6"/>
    <w:rsid w:val="19142C5B"/>
    <w:rsid w:val="193610EE"/>
    <w:rsid w:val="1947437D"/>
    <w:rsid w:val="1951035E"/>
    <w:rsid w:val="196E5146"/>
    <w:rsid w:val="1975283A"/>
    <w:rsid w:val="19903979"/>
    <w:rsid w:val="19F51A14"/>
    <w:rsid w:val="19FD0438"/>
    <w:rsid w:val="1A083DB1"/>
    <w:rsid w:val="1A0F68DC"/>
    <w:rsid w:val="1A19238E"/>
    <w:rsid w:val="1A352266"/>
    <w:rsid w:val="1A617217"/>
    <w:rsid w:val="1A695A51"/>
    <w:rsid w:val="1A7E6EC8"/>
    <w:rsid w:val="1AAB2DC0"/>
    <w:rsid w:val="1AC21C2A"/>
    <w:rsid w:val="1AFA65D7"/>
    <w:rsid w:val="1AFC1938"/>
    <w:rsid w:val="1B010F11"/>
    <w:rsid w:val="1B0354C0"/>
    <w:rsid w:val="1B3A6F9D"/>
    <w:rsid w:val="1B3E6165"/>
    <w:rsid w:val="1B3F7DA4"/>
    <w:rsid w:val="1B466361"/>
    <w:rsid w:val="1B5732B7"/>
    <w:rsid w:val="1B800A54"/>
    <w:rsid w:val="1B8E5C38"/>
    <w:rsid w:val="1B9B3BAD"/>
    <w:rsid w:val="1BA95E5D"/>
    <w:rsid w:val="1BB96F18"/>
    <w:rsid w:val="1BE24E70"/>
    <w:rsid w:val="1BEB5185"/>
    <w:rsid w:val="1BEE52BF"/>
    <w:rsid w:val="1BF41E57"/>
    <w:rsid w:val="1C1B5C37"/>
    <w:rsid w:val="1C1D1D80"/>
    <w:rsid w:val="1C1E13ED"/>
    <w:rsid w:val="1C43799E"/>
    <w:rsid w:val="1C472946"/>
    <w:rsid w:val="1CAD26B7"/>
    <w:rsid w:val="1CB77F93"/>
    <w:rsid w:val="1CD96C37"/>
    <w:rsid w:val="1CD97B76"/>
    <w:rsid w:val="1CE451E9"/>
    <w:rsid w:val="1D1F0D63"/>
    <w:rsid w:val="1D275B9F"/>
    <w:rsid w:val="1D466DD2"/>
    <w:rsid w:val="1D685D99"/>
    <w:rsid w:val="1D6D68C6"/>
    <w:rsid w:val="1D7614B6"/>
    <w:rsid w:val="1DC327CD"/>
    <w:rsid w:val="1E0661EC"/>
    <w:rsid w:val="1E1C07E5"/>
    <w:rsid w:val="1E3F0729"/>
    <w:rsid w:val="1E4F6CD8"/>
    <w:rsid w:val="1E545BB0"/>
    <w:rsid w:val="1E631E60"/>
    <w:rsid w:val="1E85569B"/>
    <w:rsid w:val="1EAA63DF"/>
    <w:rsid w:val="1ECC124C"/>
    <w:rsid w:val="1EDB5BDD"/>
    <w:rsid w:val="1F001687"/>
    <w:rsid w:val="1F003237"/>
    <w:rsid w:val="1F06374A"/>
    <w:rsid w:val="1F180280"/>
    <w:rsid w:val="1F3D192B"/>
    <w:rsid w:val="1F4E7B35"/>
    <w:rsid w:val="1F6552BA"/>
    <w:rsid w:val="1F6F4283"/>
    <w:rsid w:val="1F6F54B5"/>
    <w:rsid w:val="1F7F41F3"/>
    <w:rsid w:val="1F892AC0"/>
    <w:rsid w:val="1F9A1094"/>
    <w:rsid w:val="1FAA7F09"/>
    <w:rsid w:val="1FCB25E9"/>
    <w:rsid w:val="201C1D75"/>
    <w:rsid w:val="20304F54"/>
    <w:rsid w:val="20703639"/>
    <w:rsid w:val="20805AD5"/>
    <w:rsid w:val="20805F17"/>
    <w:rsid w:val="20BD25A6"/>
    <w:rsid w:val="20D301B8"/>
    <w:rsid w:val="20E113D3"/>
    <w:rsid w:val="2125218A"/>
    <w:rsid w:val="213C6FDD"/>
    <w:rsid w:val="214B712F"/>
    <w:rsid w:val="2153007A"/>
    <w:rsid w:val="215B7CFE"/>
    <w:rsid w:val="215F44CB"/>
    <w:rsid w:val="219A0D66"/>
    <w:rsid w:val="21D36548"/>
    <w:rsid w:val="21DA2928"/>
    <w:rsid w:val="21DB4669"/>
    <w:rsid w:val="21F371FB"/>
    <w:rsid w:val="21F65F83"/>
    <w:rsid w:val="22121CE5"/>
    <w:rsid w:val="223539E1"/>
    <w:rsid w:val="226921D1"/>
    <w:rsid w:val="2288283E"/>
    <w:rsid w:val="22DA3842"/>
    <w:rsid w:val="22DE76B3"/>
    <w:rsid w:val="22F731F2"/>
    <w:rsid w:val="22F8763E"/>
    <w:rsid w:val="230572A2"/>
    <w:rsid w:val="23083C1C"/>
    <w:rsid w:val="230D1B75"/>
    <w:rsid w:val="230F68FE"/>
    <w:rsid w:val="23322CE3"/>
    <w:rsid w:val="2347671D"/>
    <w:rsid w:val="234D63FE"/>
    <w:rsid w:val="23573C4A"/>
    <w:rsid w:val="235F3D0F"/>
    <w:rsid w:val="2364447F"/>
    <w:rsid w:val="236E3027"/>
    <w:rsid w:val="2380021A"/>
    <w:rsid w:val="23AA57ED"/>
    <w:rsid w:val="23AD6C4D"/>
    <w:rsid w:val="23AE2078"/>
    <w:rsid w:val="23D03500"/>
    <w:rsid w:val="23D33A49"/>
    <w:rsid w:val="23DF36EF"/>
    <w:rsid w:val="23F417BD"/>
    <w:rsid w:val="23F53C7A"/>
    <w:rsid w:val="24100784"/>
    <w:rsid w:val="242F4408"/>
    <w:rsid w:val="245C431D"/>
    <w:rsid w:val="24693BE6"/>
    <w:rsid w:val="24717F25"/>
    <w:rsid w:val="247547AD"/>
    <w:rsid w:val="249B02C4"/>
    <w:rsid w:val="24A3750E"/>
    <w:rsid w:val="24B2562D"/>
    <w:rsid w:val="24D00AB8"/>
    <w:rsid w:val="25130C70"/>
    <w:rsid w:val="252B4F82"/>
    <w:rsid w:val="253513DA"/>
    <w:rsid w:val="25814741"/>
    <w:rsid w:val="25817A6A"/>
    <w:rsid w:val="25850BE5"/>
    <w:rsid w:val="25B250D0"/>
    <w:rsid w:val="25B86D47"/>
    <w:rsid w:val="25D2263F"/>
    <w:rsid w:val="25D226EA"/>
    <w:rsid w:val="26007644"/>
    <w:rsid w:val="2609465D"/>
    <w:rsid w:val="26181F53"/>
    <w:rsid w:val="261B2533"/>
    <w:rsid w:val="262E3F49"/>
    <w:rsid w:val="26407082"/>
    <w:rsid w:val="26407474"/>
    <w:rsid w:val="26A320BD"/>
    <w:rsid w:val="26CA751C"/>
    <w:rsid w:val="26F67145"/>
    <w:rsid w:val="271E79F2"/>
    <w:rsid w:val="274B3330"/>
    <w:rsid w:val="279939AE"/>
    <w:rsid w:val="27A2613B"/>
    <w:rsid w:val="27AD3E88"/>
    <w:rsid w:val="27C416CA"/>
    <w:rsid w:val="27C64F3B"/>
    <w:rsid w:val="27CB2B13"/>
    <w:rsid w:val="27D71ED1"/>
    <w:rsid w:val="27FB6DC4"/>
    <w:rsid w:val="28033352"/>
    <w:rsid w:val="28083E68"/>
    <w:rsid w:val="281837E6"/>
    <w:rsid w:val="28433727"/>
    <w:rsid w:val="28514DBD"/>
    <w:rsid w:val="28634675"/>
    <w:rsid w:val="286D574F"/>
    <w:rsid w:val="28703506"/>
    <w:rsid w:val="28707120"/>
    <w:rsid w:val="287166B3"/>
    <w:rsid w:val="288632B9"/>
    <w:rsid w:val="28975FCE"/>
    <w:rsid w:val="28AE6E74"/>
    <w:rsid w:val="28B01EA7"/>
    <w:rsid w:val="28BB0796"/>
    <w:rsid w:val="28CE326C"/>
    <w:rsid w:val="28CF06FB"/>
    <w:rsid w:val="28E51BFF"/>
    <w:rsid w:val="28FB1A30"/>
    <w:rsid w:val="29054DB1"/>
    <w:rsid w:val="29123F2E"/>
    <w:rsid w:val="2919619B"/>
    <w:rsid w:val="2920135D"/>
    <w:rsid w:val="29201F7D"/>
    <w:rsid w:val="29354D9A"/>
    <w:rsid w:val="294040FF"/>
    <w:rsid w:val="294175F9"/>
    <w:rsid w:val="296307F8"/>
    <w:rsid w:val="29654531"/>
    <w:rsid w:val="29715BA6"/>
    <w:rsid w:val="2972059E"/>
    <w:rsid w:val="297C0AD6"/>
    <w:rsid w:val="29963FD2"/>
    <w:rsid w:val="29C07056"/>
    <w:rsid w:val="29C47746"/>
    <w:rsid w:val="29DE4F6B"/>
    <w:rsid w:val="29E65B56"/>
    <w:rsid w:val="29EB2B2E"/>
    <w:rsid w:val="2A0D247E"/>
    <w:rsid w:val="2A3F20CD"/>
    <w:rsid w:val="2A570FBF"/>
    <w:rsid w:val="2A647C8A"/>
    <w:rsid w:val="2A85647B"/>
    <w:rsid w:val="2A913DFD"/>
    <w:rsid w:val="2A945806"/>
    <w:rsid w:val="2AA85FE2"/>
    <w:rsid w:val="2B261ACC"/>
    <w:rsid w:val="2B2F123F"/>
    <w:rsid w:val="2B3035F9"/>
    <w:rsid w:val="2B3269C0"/>
    <w:rsid w:val="2B4B6A1D"/>
    <w:rsid w:val="2B4B739B"/>
    <w:rsid w:val="2B5D65C1"/>
    <w:rsid w:val="2B5F6248"/>
    <w:rsid w:val="2B6769EC"/>
    <w:rsid w:val="2B6E0B2C"/>
    <w:rsid w:val="2B707713"/>
    <w:rsid w:val="2B857B5F"/>
    <w:rsid w:val="2B97703B"/>
    <w:rsid w:val="2BC10F82"/>
    <w:rsid w:val="2BCA4FFD"/>
    <w:rsid w:val="2BCD24AB"/>
    <w:rsid w:val="2BF46C44"/>
    <w:rsid w:val="2C051852"/>
    <w:rsid w:val="2C2463CE"/>
    <w:rsid w:val="2C3B7539"/>
    <w:rsid w:val="2C503890"/>
    <w:rsid w:val="2C6333F2"/>
    <w:rsid w:val="2C6816DE"/>
    <w:rsid w:val="2C6B4178"/>
    <w:rsid w:val="2C7F28F6"/>
    <w:rsid w:val="2C7F7D13"/>
    <w:rsid w:val="2C8044CD"/>
    <w:rsid w:val="2C85428C"/>
    <w:rsid w:val="2C940A46"/>
    <w:rsid w:val="2CAA6CF1"/>
    <w:rsid w:val="2CBB02EE"/>
    <w:rsid w:val="2CBF2238"/>
    <w:rsid w:val="2CDB2FDC"/>
    <w:rsid w:val="2CF8255C"/>
    <w:rsid w:val="2CFF5424"/>
    <w:rsid w:val="2D0C7682"/>
    <w:rsid w:val="2D2A42B2"/>
    <w:rsid w:val="2D39696A"/>
    <w:rsid w:val="2D3A1D98"/>
    <w:rsid w:val="2D3A7D62"/>
    <w:rsid w:val="2D431C4D"/>
    <w:rsid w:val="2D7B446B"/>
    <w:rsid w:val="2D8A598E"/>
    <w:rsid w:val="2DB85A53"/>
    <w:rsid w:val="2DBA2FAA"/>
    <w:rsid w:val="2DC31CEB"/>
    <w:rsid w:val="2DCF0D14"/>
    <w:rsid w:val="2DF94F01"/>
    <w:rsid w:val="2DFA0711"/>
    <w:rsid w:val="2E0E0B3A"/>
    <w:rsid w:val="2E102533"/>
    <w:rsid w:val="2E1924BE"/>
    <w:rsid w:val="2E234B06"/>
    <w:rsid w:val="2E485F38"/>
    <w:rsid w:val="2E5310F8"/>
    <w:rsid w:val="2E5F210E"/>
    <w:rsid w:val="2E724B0F"/>
    <w:rsid w:val="2E8601AC"/>
    <w:rsid w:val="2E8E7038"/>
    <w:rsid w:val="2EA104A6"/>
    <w:rsid w:val="2F002232"/>
    <w:rsid w:val="2F1473FB"/>
    <w:rsid w:val="2F155E7E"/>
    <w:rsid w:val="2F174F92"/>
    <w:rsid w:val="2F285119"/>
    <w:rsid w:val="2F2A2BD7"/>
    <w:rsid w:val="2F500376"/>
    <w:rsid w:val="2F76649A"/>
    <w:rsid w:val="2F8D7736"/>
    <w:rsid w:val="2F953602"/>
    <w:rsid w:val="2FBF125E"/>
    <w:rsid w:val="2FCD4D98"/>
    <w:rsid w:val="2FEB4F69"/>
    <w:rsid w:val="300079EB"/>
    <w:rsid w:val="301253AB"/>
    <w:rsid w:val="30221D6A"/>
    <w:rsid w:val="30473844"/>
    <w:rsid w:val="30830062"/>
    <w:rsid w:val="30CE199D"/>
    <w:rsid w:val="30D20695"/>
    <w:rsid w:val="30E20E1C"/>
    <w:rsid w:val="310622F7"/>
    <w:rsid w:val="31170349"/>
    <w:rsid w:val="311E67A5"/>
    <w:rsid w:val="311E7D9E"/>
    <w:rsid w:val="314037AF"/>
    <w:rsid w:val="31471E11"/>
    <w:rsid w:val="3163620A"/>
    <w:rsid w:val="318820FD"/>
    <w:rsid w:val="319E13A2"/>
    <w:rsid w:val="31A84230"/>
    <w:rsid w:val="31CE2493"/>
    <w:rsid w:val="31E82A9B"/>
    <w:rsid w:val="31FE1C35"/>
    <w:rsid w:val="320C7179"/>
    <w:rsid w:val="321577E2"/>
    <w:rsid w:val="323D351F"/>
    <w:rsid w:val="326A596F"/>
    <w:rsid w:val="32B80CC3"/>
    <w:rsid w:val="32D55520"/>
    <w:rsid w:val="32DE79EF"/>
    <w:rsid w:val="32E1661E"/>
    <w:rsid w:val="32FC652A"/>
    <w:rsid w:val="3313251C"/>
    <w:rsid w:val="33160E63"/>
    <w:rsid w:val="33261B41"/>
    <w:rsid w:val="33473753"/>
    <w:rsid w:val="336921D5"/>
    <w:rsid w:val="339646A9"/>
    <w:rsid w:val="33981A8F"/>
    <w:rsid w:val="33B044FC"/>
    <w:rsid w:val="33B2364A"/>
    <w:rsid w:val="33B73EE1"/>
    <w:rsid w:val="33BF109D"/>
    <w:rsid w:val="33CC5AFE"/>
    <w:rsid w:val="33D717CA"/>
    <w:rsid w:val="33F6019C"/>
    <w:rsid w:val="340B37EA"/>
    <w:rsid w:val="341076FD"/>
    <w:rsid w:val="34147536"/>
    <w:rsid w:val="34236732"/>
    <w:rsid w:val="343F1787"/>
    <w:rsid w:val="345E41B0"/>
    <w:rsid w:val="34697FC6"/>
    <w:rsid w:val="346F666C"/>
    <w:rsid w:val="347447C0"/>
    <w:rsid w:val="348B6D23"/>
    <w:rsid w:val="34AB0392"/>
    <w:rsid w:val="34B16421"/>
    <w:rsid w:val="34B7292B"/>
    <w:rsid w:val="34C01AAE"/>
    <w:rsid w:val="34D034B2"/>
    <w:rsid w:val="34DA3011"/>
    <w:rsid w:val="34E12AD5"/>
    <w:rsid w:val="34EF735E"/>
    <w:rsid w:val="34F02D50"/>
    <w:rsid w:val="35227B9B"/>
    <w:rsid w:val="35497A6F"/>
    <w:rsid w:val="357428B5"/>
    <w:rsid w:val="35905BB9"/>
    <w:rsid w:val="35A115B3"/>
    <w:rsid w:val="35AC2DAD"/>
    <w:rsid w:val="35C76347"/>
    <w:rsid w:val="36062BB3"/>
    <w:rsid w:val="36151207"/>
    <w:rsid w:val="361E0C9A"/>
    <w:rsid w:val="362F5642"/>
    <w:rsid w:val="36335053"/>
    <w:rsid w:val="36363AF1"/>
    <w:rsid w:val="363B7292"/>
    <w:rsid w:val="36524E27"/>
    <w:rsid w:val="365B2033"/>
    <w:rsid w:val="365B2469"/>
    <w:rsid w:val="365E50A5"/>
    <w:rsid w:val="367F4551"/>
    <w:rsid w:val="36933461"/>
    <w:rsid w:val="36A31608"/>
    <w:rsid w:val="36BC3C42"/>
    <w:rsid w:val="36C11229"/>
    <w:rsid w:val="36DD2244"/>
    <w:rsid w:val="36E80818"/>
    <w:rsid w:val="36ED0478"/>
    <w:rsid w:val="36F81883"/>
    <w:rsid w:val="36FE4287"/>
    <w:rsid w:val="37143064"/>
    <w:rsid w:val="373752B9"/>
    <w:rsid w:val="37382579"/>
    <w:rsid w:val="3776312F"/>
    <w:rsid w:val="3796680D"/>
    <w:rsid w:val="37A81121"/>
    <w:rsid w:val="37A9318A"/>
    <w:rsid w:val="381C3CFA"/>
    <w:rsid w:val="38347E64"/>
    <w:rsid w:val="3838086F"/>
    <w:rsid w:val="383C1FCB"/>
    <w:rsid w:val="38765E81"/>
    <w:rsid w:val="38A522B1"/>
    <w:rsid w:val="38DF4E17"/>
    <w:rsid w:val="394645AA"/>
    <w:rsid w:val="39487AB3"/>
    <w:rsid w:val="395F6CE0"/>
    <w:rsid w:val="399162D3"/>
    <w:rsid w:val="39980724"/>
    <w:rsid w:val="39D41565"/>
    <w:rsid w:val="39D8421C"/>
    <w:rsid w:val="39E21BE8"/>
    <w:rsid w:val="39F85E7B"/>
    <w:rsid w:val="39FB313C"/>
    <w:rsid w:val="3A024CA2"/>
    <w:rsid w:val="3A0C1B82"/>
    <w:rsid w:val="3A1E4088"/>
    <w:rsid w:val="3A1F583B"/>
    <w:rsid w:val="3A4D78B6"/>
    <w:rsid w:val="3A6720EF"/>
    <w:rsid w:val="3A871552"/>
    <w:rsid w:val="3A897FD0"/>
    <w:rsid w:val="3A915516"/>
    <w:rsid w:val="3AD42AFF"/>
    <w:rsid w:val="3AE45F67"/>
    <w:rsid w:val="3AE811B4"/>
    <w:rsid w:val="3AEF4765"/>
    <w:rsid w:val="3AFE00DD"/>
    <w:rsid w:val="3B0E12A5"/>
    <w:rsid w:val="3B4E5EC1"/>
    <w:rsid w:val="3B5914C8"/>
    <w:rsid w:val="3B62582B"/>
    <w:rsid w:val="3B63292A"/>
    <w:rsid w:val="3B6E1248"/>
    <w:rsid w:val="3B6E2210"/>
    <w:rsid w:val="3B7E303F"/>
    <w:rsid w:val="3B7F2542"/>
    <w:rsid w:val="3B8E1220"/>
    <w:rsid w:val="3BA85A2F"/>
    <w:rsid w:val="3BB7572D"/>
    <w:rsid w:val="3BC1282E"/>
    <w:rsid w:val="3BDF2CD9"/>
    <w:rsid w:val="3BF73440"/>
    <w:rsid w:val="3C021B01"/>
    <w:rsid w:val="3C0E27A2"/>
    <w:rsid w:val="3C19747D"/>
    <w:rsid w:val="3C1D7893"/>
    <w:rsid w:val="3C437B17"/>
    <w:rsid w:val="3C5207CF"/>
    <w:rsid w:val="3C53139C"/>
    <w:rsid w:val="3C585E77"/>
    <w:rsid w:val="3C6B4C97"/>
    <w:rsid w:val="3C6C2FDC"/>
    <w:rsid w:val="3C750A23"/>
    <w:rsid w:val="3CAB014E"/>
    <w:rsid w:val="3CD24F44"/>
    <w:rsid w:val="3CD479F1"/>
    <w:rsid w:val="3CE0102E"/>
    <w:rsid w:val="3CE630D1"/>
    <w:rsid w:val="3D0E5633"/>
    <w:rsid w:val="3D14109E"/>
    <w:rsid w:val="3D1D1299"/>
    <w:rsid w:val="3D363E1B"/>
    <w:rsid w:val="3D4612DB"/>
    <w:rsid w:val="3D4C3D86"/>
    <w:rsid w:val="3D971F15"/>
    <w:rsid w:val="3DBC45DD"/>
    <w:rsid w:val="3DD87E7C"/>
    <w:rsid w:val="3E1A784F"/>
    <w:rsid w:val="3E29373B"/>
    <w:rsid w:val="3E424128"/>
    <w:rsid w:val="3E4A3402"/>
    <w:rsid w:val="3E4E4765"/>
    <w:rsid w:val="3E552DAC"/>
    <w:rsid w:val="3E622355"/>
    <w:rsid w:val="3E7B7384"/>
    <w:rsid w:val="3E812A4E"/>
    <w:rsid w:val="3E9364DC"/>
    <w:rsid w:val="3EA01CC0"/>
    <w:rsid w:val="3ECC1DC2"/>
    <w:rsid w:val="3ECC2FDF"/>
    <w:rsid w:val="3EDA0CEA"/>
    <w:rsid w:val="3EF3679E"/>
    <w:rsid w:val="3EFB577B"/>
    <w:rsid w:val="3F103A4E"/>
    <w:rsid w:val="3F423BA5"/>
    <w:rsid w:val="3F4E2B12"/>
    <w:rsid w:val="3F700200"/>
    <w:rsid w:val="3F7C1842"/>
    <w:rsid w:val="3F8129BB"/>
    <w:rsid w:val="3F9C2A72"/>
    <w:rsid w:val="3FA05407"/>
    <w:rsid w:val="3FBA23B8"/>
    <w:rsid w:val="3FBE1173"/>
    <w:rsid w:val="3FD7160D"/>
    <w:rsid w:val="3FE75342"/>
    <w:rsid w:val="3FF052F8"/>
    <w:rsid w:val="3FFB4E48"/>
    <w:rsid w:val="401F5276"/>
    <w:rsid w:val="406A2F28"/>
    <w:rsid w:val="406D0B57"/>
    <w:rsid w:val="40B9503B"/>
    <w:rsid w:val="40BE49CE"/>
    <w:rsid w:val="40C849CB"/>
    <w:rsid w:val="40F07C75"/>
    <w:rsid w:val="40FE496B"/>
    <w:rsid w:val="411B3B54"/>
    <w:rsid w:val="41454337"/>
    <w:rsid w:val="414C71B0"/>
    <w:rsid w:val="414D48CD"/>
    <w:rsid w:val="41504406"/>
    <w:rsid w:val="415640A4"/>
    <w:rsid w:val="41581EE7"/>
    <w:rsid w:val="41655068"/>
    <w:rsid w:val="41794D5F"/>
    <w:rsid w:val="4181204A"/>
    <w:rsid w:val="41B46583"/>
    <w:rsid w:val="41B64C70"/>
    <w:rsid w:val="41D42CA5"/>
    <w:rsid w:val="41EB4163"/>
    <w:rsid w:val="41F37D74"/>
    <w:rsid w:val="41FF7D7F"/>
    <w:rsid w:val="420123E4"/>
    <w:rsid w:val="42196265"/>
    <w:rsid w:val="422E3474"/>
    <w:rsid w:val="423F662D"/>
    <w:rsid w:val="4254723C"/>
    <w:rsid w:val="42564602"/>
    <w:rsid w:val="425A003C"/>
    <w:rsid w:val="42755B12"/>
    <w:rsid w:val="427D2B06"/>
    <w:rsid w:val="429B056D"/>
    <w:rsid w:val="429C31DB"/>
    <w:rsid w:val="42C32A7D"/>
    <w:rsid w:val="42CB2B1A"/>
    <w:rsid w:val="43044F3B"/>
    <w:rsid w:val="43184FC5"/>
    <w:rsid w:val="43375BA0"/>
    <w:rsid w:val="433905F9"/>
    <w:rsid w:val="43506C98"/>
    <w:rsid w:val="43511227"/>
    <w:rsid w:val="4386195F"/>
    <w:rsid w:val="43B110D9"/>
    <w:rsid w:val="43BC639F"/>
    <w:rsid w:val="43CE369F"/>
    <w:rsid w:val="43D36F52"/>
    <w:rsid w:val="43E93537"/>
    <w:rsid w:val="43ED2847"/>
    <w:rsid w:val="43F223A4"/>
    <w:rsid w:val="44085153"/>
    <w:rsid w:val="441A3D0A"/>
    <w:rsid w:val="443D7802"/>
    <w:rsid w:val="44435618"/>
    <w:rsid w:val="44483F4C"/>
    <w:rsid w:val="44636115"/>
    <w:rsid w:val="447551D6"/>
    <w:rsid w:val="44AE3E16"/>
    <w:rsid w:val="44B043E7"/>
    <w:rsid w:val="44C23FE7"/>
    <w:rsid w:val="44C55EDC"/>
    <w:rsid w:val="44D51A2B"/>
    <w:rsid w:val="44E52180"/>
    <w:rsid w:val="44E72F5D"/>
    <w:rsid w:val="44F6176D"/>
    <w:rsid w:val="453D091C"/>
    <w:rsid w:val="45604A31"/>
    <w:rsid w:val="45850F14"/>
    <w:rsid w:val="45AA6C7E"/>
    <w:rsid w:val="45B7138B"/>
    <w:rsid w:val="45D71754"/>
    <w:rsid w:val="45F97DE2"/>
    <w:rsid w:val="46076C44"/>
    <w:rsid w:val="460A22CB"/>
    <w:rsid w:val="46103B34"/>
    <w:rsid w:val="463333B8"/>
    <w:rsid w:val="465D0705"/>
    <w:rsid w:val="468A0C75"/>
    <w:rsid w:val="4699467B"/>
    <w:rsid w:val="46A11E9E"/>
    <w:rsid w:val="46B921BB"/>
    <w:rsid w:val="46C82FD5"/>
    <w:rsid w:val="46CA7B97"/>
    <w:rsid w:val="46F50F53"/>
    <w:rsid w:val="4700579B"/>
    <w:rsid w:val="473F412F"/>
    <w:rsid w:val="475F6917"/>
    <w:rsid w:val="478D793D"/>
    <w:rsid w:val="47A06371"/>
    <w:rsid w:val="47A549CD"/>
    <w:rsid w:val="47C53BBC"/>
    <w:rsid w:val="47D02CFC"/>
    <w:rsid w:val="47DA6B9A"/>
    <w:rsid w:val="480C0CA4"/>
    <w:rsid w:val="482C28BF"/>
    <w:rsid w:val="48926B34"/>
    <w:rsid w:val="48A7110F"/>
    <w:rsid w:val="48AE5F11"/>
    <w:rsid w:val="48BB4B6B"/>
    <w:rsid w:val="48C77A92"/>
    <w:rsid w:val="48CE64EC"/>
    <w:rsid w:val="48DF1BC3"/>
    <w:rsid w:val="48E86FD3"/>
    <w:rsid w:val="491B0AB4"/>
    <w:rsid w:val="491C7E06"/>
    <w:rsid w:val="491D2276"/>
    <w:rsid w:val="492A56CC"/>
    <w:rsid w:val="494E3382"/>
    <w:rsid w:val="49712EE5"/>
    <w:rsid w:val="49D67496"/>
    <w:rsid w:val="49D9498B"/>
    <w:rsid w:val="49F54A31"/>
    <w:rsid w:val="4A1515F2"/>
    <w:rsid w:val="4A15291C"/>
    <w:rsid w:val="4A4903C4"/>
    <w:rsid w:val="4A4D5157"/>
    <w:rsid w:val="4A6F6901"/>
    <w:rsid w:val="4A863BAC"/>
    <w:rsid w:val="4ADC49B6"/>
    <w:rsid w:val="4B080DF0"/>
    <w:rsid w:val="4B172371"/>
    <w:rsid w:val="4B756341"/>
    <w:rsid w:val="4B7C4C2F"/>
    <w:rsid w:val="4BAA6D01"/>
    <w:rsid w:val="4BC30C8B"/>
    <w:rsid w:val="4BC35CDD"/>
    <w:rsid w:val="4BD54CE2"/>
    <w:rsid w:val="4BD75015"/>
    <w:rsid w:val="4BF72790"/>
    <w:rsid w:val="4C667603"/>
    <w:rsid w:val="4C7208AB"/>
    <w:rsid w:val="4C7D3515"/>
    <w:rsid w:val="4C7F0024"/>
    <w:rsid w:val="4C8B3899"/>
    <w:rsid w:val="4CA824DE"/>
    <w:rsid w:val="4CAF7F8F"/>
    <w:rsid w:val="4CC04F36"/>
    <w:rsid w:val="4CD416B4"/>
    <w:rsid w:val="4D01705C"/>
    <w:rsid w:val="4D162D28"/>
    <w:rsid w:val="4D251F5F"/>
    <w:rsid w:val="4D520306"/>
    <w:rsid w:val="4D7F6359"/>
    <w:rsid w:val="4D8A018E"/>
    <w:rsid w:val="4D974246"/>
    <w:rsid w:val="4DC11CE2"/>
    <w:rsid w:val="4DDC4E4C"/>
    <w:rsid w:val="4DE502E4"/>
    <w:rsid w:val="4DEB0D84"/>
    <w:rsid w:val="4DF739A5"/>
    <w:rsid w:val="4E000F02"/>
    <w:rsid w:val="4E385572"/>
    <w:rsid w:val="4E612F7D"/>
    <w:rsid w:val="4E6E00B0"/>
    <w:rsid w:val="4E7073F7"/>
    <w:rsid w:val="4E7E7C9C"/>
    <w:rsid w:val="4E9070DE"/>
    <w:rsid w:val="4EB74757"/>
    <w:rsid w:val="4EC978F1"/>
    <w:rsid w:val="4EE819D1"/>
    <w:rsid w:val="4EFB6E14"/>
    <w:rsid w:val="4F1F6B9E"/>
    <w:rsid w:val="4F2C13A8"/>
    <w:rsid w:val="4F511E19"/>
    <w:rsid w:val="4F643939"/>
    <w:rsid w:val="4F662971"/>
    <w:rsid w:val="4F6B4E15"/>
    <w:rsid w:val="4F750DF4"/>
    <w:rsid w:val="4F9279CA"/>
    <w:rsid w:val="4FB57AE4"/>
    <w:rsid w:val="4FCB499B"/>
    <w:rsid w:val="4FE85811"/>
    <w:rsid w:val="50135DC7"/>
    <w:rsid w:val="50143D1A"/>
    <w:rsid w:val="50435E0A"/>
    <w:rsid w:val="504373BA"/>
    <w:rsid w:val="506024DA"/>
    <w:rsid w:val="506443DD"/>
    <w:rsid w:val="506E0D5E"/>
    <w:rsid w:val="50756795"/>
    <w:rsid w:val="50790B9E"/>
    <w:rsid w:val="50986790"/>
    <w:rsid w:val="50B63A5F"/>
    <w:rsid w:val="50F4647C"/>
    <w:rsid w:val="512755C8"/>
    <w:rsid w:val="512B0D76"/>
    <w:rsid w:val="514604F2"/>
    <w:rsid w:val="5162032B"/>
    <w:rsid w:val="516C06E5"/>
    <w:rsid w:val="5179241B"/>
    <w:rsid w:val="517B3ECE"/>
    <w:rsid w:val="519965BE"/>
    <w:rsid w:val="51AC5344"/>
    <w:rsid w:val="51E54D28"/>
    <w:rsid w:val="5205460F"/>
    <w:rsid w:val="520955DF"/>
    <w:rsid w:val="5219268E"/>
    <w:rsid w:val="5224423E"/>
    <w:rsid w:val="52246ADF"/>
    <w:rsid w:val="522D0879"/>
    <w:rsid w:val="52371736"/>
    <w:rsid w:val="525B6BBA"/>
    <w:rsid w:val="52977960"/>
    <w:rsid w:val="529B259D"/>
    <w:rsid w:val="52C85739"/>
    <w:rsid w:val="52E511FE"/>
    <w:rsid w:val="52E91121"/>
    <w:rsid w:val="53090A62"/>
    <w:rsid w:val="530F6A8A"/>
    <w:rsid w:val="5310493E"/>
    <w:rsid w:val="53195C0D"/>
    <w:rsid w:val="531B1690"/>
    <w:rsid w:val="532B0D1B"/>
    <w:rsid w:val="53382426"/>
    <w:rsid w:val="5343702E"/>
    <w:rsid w:val="537C6D8D"/>
    <w:rsid w:val="538D1921"/>
    <w:rsid w:val="539957A6"/>
    <w:rsid w:val="53BA2317"/>
    <w:rsid w:val="53C25493"/>
    <w:rsid w:val="53C9360F"/>
    <w:rsid w:val="53EC1D7E"/>
    <w:rsid w:val="53F20189"/>
    <w:rsid w:val="53FB097F"/>
    <w:rsid w:val="54621E22"/>
    <w:rsid w:val="54746626"/>
    <w:rsid w:val="54882FC1"/>
    <w:rsid w:val="548A1E16"/>
    <w:rsid w:val="54F70718"/>
    <w:rsid w:val="551D3C3B"/>
    <w:rsid w:val="55200A24"/>
    <w:rsid w:val="552A1FAC"/>
    <w:rsid w:val="552E2E20"/>
    <w:rsid w:val="554F2250"/>
    <w:rsid w:val="555F590F"/>
    <w:rsid w:val="555F7283"/>
    <w:rsid w:val="55647CEE"/>
    <w:rsid w:val="55774CB5"/>
    <w:rsid w:val="5581374F"/>
    <w:rsid w:val="559005E0"/>
    <w:rsid w:val="559F3AED"/>
    <w:rsid w:val="55A30A67"/>
    <w:rsid w:val="55CB1E1A"/>
    <w:rsid w:val="55CF63B6"/>
    <w:rsid w:val="56095C85"/>
    <w:rsid w:val="56434333"/>
    <w:rsid w:val="56900E0E"/>
    <w:rsid w:val="56914CC8"/>
    <w:rsid w:val="56A2065B"/>
    <w:rsid w:val="56B32F87"/>
    <w:rsid w:val="56C907EE"/>
    <w:rsid w:val="56D9793D"/>
    <w:rsid w:val="56F22F15"/>
    <w:rsid w:val="56F248D0"/>
    <w:rsid w:val="57003D9B"/>
    <w:rsid w:val="576A2707"/>
    <w:rsid w:val="57A26D9B"/>
    <w:rsid w:val="57AF0C90"/>
    <w:rsid w:val="57D47219"/>
    <w:rsid w:val="57D5021B"/>
    <w:rsid w:val="57E16DB8"/>
    <w:rsid w:val="57EC2FFB"/>
    <w:rsid w:val="57F22955"/>
    <w:rsid w:val="581234F0"/>
    <w:rsid w:val="58151045"/>
    <w:rsid w:val="58647C87"/>
    <w:rsid w:val="586D5FB3"/>
    <w:rsid w:val="587A272D"/>
    <w:rsid w:val="587D553F"/>
    <w:rsid w:val="589D62C3"/>
    <w:rsid w:val="58CD159D"/>
    <w:rsid w:val="58CD4A9B"/>
    <w:rsid w:val="58D22A2A"/>
    <w:rsid w:val="58D8646B"/>
    <w:rsid w:val="58FE3C9D"/>
    <w:rsid w:val="592B1C15"/>
    <w:rsid w:val="59574514"/>
    <w:rsid w:val="596351C0"/>
    <w:rsid w:val="59761BC8"/>
    <w:rsid w:val="597A4B43"/>
    <w:rsid w:val="5982798D"/>
    <w:rsid w:val="599909E0"/>
    <w:rsid w:val="599A1A25"/>
    <w:rsid w:val="59B2272E"/>
    <w:rsid w:val="59C57250"/>
    <w:rsid w:val="59F42E11"/>
    <w:rsid w:val="5A012EE3"/>
    <w:rsid w:val="5A171517"/>
    <w:rsid w:val="5A1736CA"/>
    <w:rsid w:val="5A235B1A"/>
    <w:rsid w:val="5A3439CB"/>
    <w:rsid w:val="5A495F5A"/>
    <w:rsid w:val="5A515D55"/>
    <w:rsid w:val="5A570412"/>
    <w:rsid w:val="5A6744BF"/>
    <w:rsid w:val="5A7E154C"/>
    <w:rsid w:val="5AB61393"/>
    <w:rsid w:val="5AC24A65"/>
    <w:rsid w:val="5AE82686"/>
    <w:rsid w:val="5AF37991"/>
    <w:rsid w:val="5AFE78B7"/>
    <w:rsid w:val="5B3A3F47"/>
    <w:rsid w:val="5B425C71"/>
    <w:rsid w:val="5B4B21A3"/>
    <w:rsid w:val="5B7C2D9B"/>
    <w:rsid w:val="5B844AF8"/>
    <w:rsid w:val="5B927D8A"/>
    <w:rsid w:val="5BC72506"/>
    <w:rsid w:val="5BCB4B1D"/>
    <w:rsid w:val="5BD2073D"/>
    <w:rsid w:val="5BF17643"/>
    <w:rsid w:val="5C142091"/>
    <w:rsid w:val="5C4D76E1"/>
    <w:rsid w:val="5C7269E6"/>
    <w:rsid w:val="5C7376DA"/>
    <w:rsid w:val="5C7A47B1"/>
    <w:rsid w:val="5CC11107"/>
    <w:rsid w:val="5CD91220"/>
    <w:rsid w:val="5CE94723"/>
    <w:rsid w:val="5D0D3CF2"/>
    <w:rsid w:val="5D205721"/>
    <w:rsid w:val="5D893894"/>
    <w:rsid w:val="5D9424B1"/>
    <w:rsid w:val="5DA201DD"/>
    <w:rsid w:val="5DF600BE"/>
    <w:rsid w:val="5DF91532"/>
    <w:rsid w:val="5DFB6562"/>
    <w:rsid w:val="5E037DD8"/>
    <w:rsid w:val="5E154605"/>
    <w:rsid w:val="5E2E57E4"/>
    <w:rsid w:val="5E320D8A"/>
    <w:rsid w:val="5E32298B"/>
    <w:rsid w:val="5E6B10A2"/>
    <w:rsid w:val="5EB55E45"/>
    <w:rsid w:val="5EDC740D"/>
    <w:rsid w:val="5EE70ABD"/>
    <w:rsid w:val="5EEC24F3"/>
    <w:rsid w:val="5EFB42E6"/>
    <w:rsid w:val="5F031828"/>
    <w:rsid w:val="5F537153"/>
    <w:rsid w:val="5F661F24"/>
    <w:rsid w:val="5F792D60"/>
    <w:rsid w:val="5F87768D"/>
    <w:rsid w:val="5FC47290"/>
    <w:rsid w:val="5FEF4D63"/>
    <w:rsid w:val="603A6187"/>
    <w:rsid w:val="60505C7B"/>
    <w:rsid w:val="60773537"/>
    <w:rsid w:val="60A222B5"/>
    <w:rsid w:val="60B1035B"/>
    <w:rsid w:val="60B56935"/>
    <w:rsid w:val="60B67665"/>
    <w:rsid w:val="60C7299F"/>
    <w:rsid w:val="60C873DD"/>
    <w:rsid w:val="60DA1F4B"/>
    <w:rsid w:val="60F01741"/>
    <w:rsid w:val="60F611E0"/>
    <w:rsid w:val="612A1036"/>
    <w:rsid w:val="61350ABD"/>
    <w:rsid w:val="6137038A"/>
    <w:rsid w:val="61394551"/>
    <w:rsid w:val="61490597"/>
    <w:rsid w:val="614D0731"/>
    <w:rsid w:val="61500DF9"/>
    <w:rsid w:val="616356AC"/>
    <w:rsid w:val="616B721D"/>
    <w:rsid w:val="618254D9"/>
    <w:rsid w:val="618A606C"/>
    <w:rsid w:val="61B26B81"/>
    <w:rsid w:val="61B6272C"/>
    <w:rsid w:val="61DF0F96"/>
    <w:rsid w:val="61E6605B"/>
    <w:rsid w:val="621801B2"/>
    <w:rsid w:val="622C1B4C"/>
    <w:rsid w:val="62A52376"/>
    <w:rsid w:val="62AF498E"/>
    <w:rsid w:val="62B2601C"/>
    <w:rsid w:val="62DC4188"/>
    <w:rsid w:val="63036A7E"/>
    <w:rsid w:val="63195D36"/>
    <w:rsid w:val="632275F8"/>
    <w:rsid w:val="633B45D0"/>
    <w:rsid w:val="633E7413"/>
    <w:rsid w:val="63424237"/>
    <w:rsid w:val="63622995"/>
    <w:rsid w:val="63791F6B"/>
    <w:rsid w:val="63B959AA"/>
    <w:rsid w:val="63C66967"/>
    <w:rsid w:val="63EE3312"/>
    <w:rsid w:val="63FA3A82"/>
    <w:rsid w:val="64262FF7"/>
    <w:rsid w:val="64382BE2"/>
    <w:rsid w:val="644F61F4"/>
    <w:rsid w:val="6461659C"/>
    <w:rsid w:val="648554A6"/>
    <w:rsid w:val="649C32B5"/>
    <w:rsid w:val="64AA31A8"/>
    <w:rsid w:val="64BB0570"/>
    <w:rsid w:val="64C80287"/>
    <w:rsid w:val="64EE4EB4"/>
    <w:rsid w:val="650252DB"/>
    <w:rsid w:val="65106675"/>
    <w:rsid w:val="652A16FD"/>
    <w:rsid w:val="653106B7"/>
    <w:rsid w:val="65493328"/>
    <w:rsid w:val="655B0E55"/>
    <w:rsid w:val="65642445"/>
    <w:rsid w:val="65700651"/>
    <w:rsid w:val="65901969"/>
    <w:rsid w:val="659A4370"/>
    <w:rsid w:val="659E5040"/>
    <w:rsid w:val="65A87119"/>
    <w:rsid w:val="65B12364"/>
    <w:rsid w:val="65BD62FA"/>
    <w:rsid w:val="65CE6D20"/>
    <w:rsid w:val="65D473F8"/>
    <w:rsid w:val="65D675CD"/>
    <w:rsid w:val="65DB67EF"/>
    <w:rsid w:val="65F06BDE"/>
    <w:rsid w:val="65F900F3"/>
    <w:rsid w:val="65F91410"/>
    <w:rsid w:val="66020B5F"/>
    <w:rsid w:val="660570FC"/>
    <w:rsid w:val="6613776A"/>
    <w:rsid w:val="66277627"/>
    <w:rsid w:val="663050CA"/>
    <w:rsid w:val="663547A1"/>
    <w:rsid w:val="663B3801"/>
    <w:rsid w:val="66523169"/>
    <w:rsid w:val="66660492"/>
    <w:rsid w:val="667A3263"/>
    <w:rsid w:val="669B2177"/>
    <w:rsid w:val="66A52E45"/>
    <w:rsid w:val="66AF5CF1"/>
    <w:rsid w:val="66C20067"/>
    <w:rsid w:val="66D36E46"/>
    <w:rsid w:val="66EA284E"/>
    <w:rsid w:val="66F856BB"/>
    <w:rsid w:val="67074DBE"/>
    <w:rsid w:val="672640DB"/>
    <w:rsid w:val="672858A6"/>
    <w:rsid w:val="673A2BB4"/>
    <w:rsid w:val="673B2487"/>
    <w:rsid w:val="676F7369"/>
    <w:rsid w:val="678C204F"/>
    <w:rsid w:val="678E4930"/>
    <w:rsid w:val="67960652"/>
    <w:rsid w:val="67B2417F"/>
    <w:rsid w:val="67C62506"/>
    <w:rsid w:val="67E725A6"/>
    <w:rsid w:val="67EE34AC"/>
    <w:rsid w:val="68217CFA"/>
    <w:rsid w:val="683E3404"/>
    <w:rsid w:val="68440261"/>
    <w:rsid w:val="685B4BDF"/>
    <w:rsid w:val="686B1F8C"/>
    <w:rsid w:val="68956E05"/>
    <w:rsid w:val="68964BF4"/>
    <w:rsid w:val="68EF2D5E"/>
    <w:rsid w:val="690210CF"/>
    <w:rsid w:val="69041C1D"/>
    <w:rsid w:val="6942627E"/>
    <w:rsid w:val="697E5383"/>
    <w:rsid w:val="699A25A1"/>
    <w:rsid w:val="699B7ADD"/>
    <w:rsid w:val="69A87D7A"/>
    <w:rsid w:val="69B811ED"/>
    <w:rsid w:val="69C113D1"/>
    <w:rsid w:val="69EA3ED7"/>
    <w:rsid w:val="6A0D1E30"/>
    <w:rsid w:val="6A1A6C03"/>
    <w:rsid w:val="6A3A7C67"/>
    <w:rsid w:val="6A556471"/>
    <w:rsid w:val="6A85654B"/>
    <w:rsid w:val="6A8D2741"/>
    <w:rsid w:val="6A976B0A"/>
    <w:rsid w:val="6AC478E6"/>
    <w:rsid w:val="6AD10DDD"/>
    <w:rsid w:val="6AF515F5"/>
    <w:rsid w:val="6AF76C88"/>
    <w:rsid w:val="6AF8238F"/>
    <w:rsid w:val="6AF910A0"/>
    <w:rsid w:val="6B05618C"/>
    <w:rsid w:val="6B2D7803"/>
    <w:rsid w:val="6B3F3C81"/>
    <w:rsid w:val="6B444E0F"/>
    <w:rsid w:val="6B462920"/>
    <w:rsid w:val="6B592AE4"/>
    <w:rsid w:val="6BCB165B"/>
    <w:rsid w:val="6BD806D7"/>
    <w:rsid w:val="6BF65B0B"/>
    <w:rsid w:val="6C0C100F"/>
    <w:rsid w:val="6C1B73BC"/>
    <w:rsid w:val="6C1F7C73"/>
    <w:rsid w:val="6C2B4781"/>
    <w:rsid w:val="6C4D4EDC"/>
    <w:rsid w:val="6C5B4854"/>
    <w:rsid w:val="6C656025"/>
    <w:rsid w:val="6C6A4346"/>
    <w:rsid w:val="6C745566"/>
    <w:rsid w:val="6C7754FD"/>
    <w:rsid w:val="6CA91D63"/>
    <w:rsid w:val="6CE24F43"/>
    <w:rsid w:val="6CE6618A"/>
    <w:rsid w:val="6D276149"/>
    <w:rsid w:val="6D2867D3"/>
    <w:rsid w:val="6D473B6D"/>
    <w:rsid w:val="6D882D96"/>
    <w:rsid w:val="6DA613EB"/>
    <w:rsid w:val="6DD41964"/>
    <w:rsid w:val="6DEB082C"/>
    <w:rsid w:val="6DF45BC1"/>
    <w:rsid w:val="6E3B5D08"/>
    <w:rsid w:val="6E603A5C"/>
    <w:rsid w:val="6E693E41"/>
    <w:rsid w:val="6E7C7D0C"/>
    <w:rsid w:val="6E816341"/>
    <w:rsid w:val="6EA445EA"/>
    <w:rsid w:val="6EB32C8B"/>
    <w:rsid w:val="6EB75257"/>
    <w:rsid w:val="6ED91E4D"/>
    <w:rsid w:val="6F0B4C0A"/>
    <w:rsid w:val="6F3248BA"/>
    <w:rsid w:val="6F7D5591"/>
    <w:rsid w:val="6F7E5F4D"/>
    <w:rsid w:val="6F84676A"/>
    <w:rsid w:val="6F9241D8"/>
    <w:rsid w:val="6FA41E18"/>
    <w:rsid w:val="6FA5457B"/>
    <w:rsid w:val="6FBF2EBD"/>
    <w:rsid w:val="6FC35E4D"/>
    <w:rsid w:val="6FC36E07"/>
    <w:rsid w:val="6FCF48BB"/>
    <w:rsid w:val="6FD371F4"/>
    <w:rsid w:val="6FFB2FFB"/>
    <w:rsid w:val="701C5F4C"/>
    <w:rsid w:val="704348EA"/>
    <w:rsid w:val="70672FF4"/>
    <w:rsid w:val="707176B4"/>
    <w:rsid w:val="70744BE5"/>
    <w:rsid w:val="707D4B70"/>
    <w:rsid w:val="707F1472"/>
    <w:rsid w:val="70876F4E"/>
    <w:rsid w:val="70904402"/>
    <w:rsid w:val="70A158F9"/>
    <w:rsid w:val="70A16C46"/>
    <w:rsid w:val="70D30598"/>
    <w:rsid w:val="7117362D"/>
    <w:rsid w:val="71545C7B"/>
    <w:rsid w:val="71667C91"/>
    <w:rsid w:val="718C621E"/>
    <w:rsid w:val="719722F6"/>
    <w:rsid w:val="71C12B6D"/>
    <w:rsid w:val="71D65952"/>
    <w:rsid w:val="71DE7620"/>
    <w:rsid w:val="71F272F5"/>
    <w:rsid w:val="72055EA4"/>
    <w:rsid w:val="72611258"/>
    <w:rsid w:val="726C620E"/>
    <w:rsid w:val="72856146"/>
    <w:rsid w:val="72B13D48"/>
    <w:rsid w:val="72B907B1"/>
    <w:rsid w:val="72E61A6B"/>
    <w:rsid w:val="72E97768"/>
    <w:rsid w:val="72FA1D8F"/>
    <w:rsid w:val="73140B91"/>
    <w:rsid w:val="736668A1"/>
    <w:rsid w:val="73724151"/>
    <w:rsid w:val="737A4359"/>
    <w:rsid w:val="73856FA8"/>
    <w:rsid w:val="73AB5F11"/>
    <w:rsid w:val="73B0487A"/>
    <w:rsid w:val="73D61BB2"/>
    <w:rsid w:val="73DF16B4"/>
    <w:rsid w:val="73ED05F5"/>
    <w:rsid w:val="740D13C4"/>
    <w:rsid w:val="74164205"/>
    <w:rsid w:val="74177925"/>
    <w:rsid w:val="742D012F"/>
    <w:rsid w:val="743173C2"/>
    <w:rsid w:val="74473E24"/>
    <w:rsid w:val="74962971"/>
    <w:rsid w:val="74C071B3"/>
    <w:rsid w:val="74C330DB"/>
    <w:rsid w:val="74CF5342"/>
    <w:rsid w:val="74DD0626"/>
    <w:rsid w:val="74E92B1A"/>
    <w:rsid w:val="74F34EA9"/>
    <w:rsid w:val="74F4285A"/>
    <w:rsid w:val="75175023"/>
    <w:rsid w:val="75185182"/>
    <w:rsid w:val="751D77F7"/>
    <w:rsid w:val="75226DBD"/>
    <w:rsid w:val="7536689E"/>
    <w:rsid w:val="755C4E39"/>
    <w:rsid w:val="755E5AD7"/>
    <w:rsid w:val="757C3FD7"/>
    <w:rsid w:val="75973BF8"/>
    <w:rsid w:val="75A877EB"/>
    <w:rsid w:val="75A93E1C"/>
    <w:rsid w:val="75C14524"/>
    <w:rsid w:val="75D902A4"/>
    <w:rsid w:val="760764C2"/>
    <w:rsid w:val="761A1C8D"/>
    <w:rsid w:val="761C254E"/>
    <w:rsid w:val="763309F4"/>
    <w:rsid w:val="763845C6"/>
    <w:rsid w:val="764618FB"/>
    <w:rsid w:val="76565170"/>
    <w:rsid w:val="769E2F62"/>
    <w:rsid w:val="76BC7C1B"/>
    <w:rsid w:val="76C82817"/>
    <w:rsid w:val="76CF75B4"/>
    <w:rsid w:val="76D02B13"/>
    <w:rsid w:val="77272F64"/>
    <w:rsid w:val="772927B4"/>
    <w:rsid w:val="773D1EF1"/>
    <w:rsid w:val="776E6423"/>
    <w:rsid w:val="77742C97"/>
    <w:rsid w:val="777D61FC"/>
    <w:rsid w:val="779455A5"/>
    <w:rsid w:val="779D70C2"/>
    <w:rsid w:val="77E64C9C"/>
    <w:rsid w:val="77E70D91"/>
    <w:rsid w:val="77F31147"/>
    <w:rsid w:val="781D57D2"/>
    <w:rsid w:val="78217D12"/>
    <w:rsid w:val="782B66B7"/>
    <w:rsid w:val="78303194"/>
    <w:rsid w:val="78316AF9"/>
    <w:rsid w:val="78500CE6"/>
    <w:rsid w:val="78655BA0"/>
    <w:rsid w:val="78684271"/>
    <w:rsid w:val="786E0D80"/>
    <w:rsid w:val="78810E7A"/>
    <w:rsid w:val="78855673"/>
    <w:rsid w:val="789B2739"/>
    <w:rsid w:val="78AE1F27"/>
    <w:rsid w:val="78DC467A"/>
    <w:rsid w:val="78E31C58"/>
    <w:rsid w:val="78F36142"/>
    <w:rsid w:val="78FA558F"/>
    <w:rsid w:val="79183BE5"/>
    <w:rsid w:val="79297C8D"/>
    <w:rsid w:val="79561623"/>
    <w:rsid w:val="795930D0"/>
    <w:rsid w:val="796D6532"/>
    <w:rsid w:val="7980606F"/>
    <w:rsid w:val="7988415A"/>
    <w:rsid w:val="79EF77D5"/>
    <w:rsid w:val="7A243418"/>
    <w:rsid w:val="7A2C664B"/>
    <w:rsid w:val="7A500631"/>
    <w:rsid w:val="7A716F4D"/>
    <w:rsid w:val="7A786868"/>
    <w:rsid w:val="7A996261"/>
    <w:rsid w:val="7ABC149D"/>
    <w:rsid w:val="7ABC7716"/>
    <w:rsid w:val="7AC019D0"/>
    <w:rsid w:val="7ADD13B2"/>
    <w:rsid w:val="7AE80184"/>
    <w:rsid w:val="7AEB0F18"/>
    <w:rsid w:val="7B033B16"/>
    <w:rsid w:val="7B3D3E36"/>
    <w:rsid w:val="7B447587"/>
    <w:rsid w:val="7B582940"/>
    <w:rsid w:val="7B964F5D"/>
    <w:rsid w:val="7B9E0305"/>
    <w:rsid w:val="7BAD0074"/>
    <w:rsid w:val="7BC01FA3"/>
    <w:rsid w:val="7BF0047F"/>
    <w:rsid w:val="7C1C3193"/>
    <w:rsid w:val="7C2D0185"/>
    <w:rsid w:val="7C335907"/>
    <w:rsid w:val="7C3520EC"/>
    <w:rsid w:val="7C42349B"/>
    <w:rsid w:val="7C585806"/>
    <w:rsid w:val="7C5D7BB8"/>
    <w:rsid w:val="7C6066A0"/>
    <w:rsid w:val="7C6D471B"/>
    <w:rsid w:val="7C6E396C"/>
    <w:rsid w:val="7C7317CA"/>
    <w:rsid w:val="7C83501E"/>
    <w:rsid w:val="7C9045D8"/>
    <w:rsid w:val="7CD2053A"/>
    <w:rsid w:val="7CDC66F2"/>
    <w:rsid w:val="7CEC34F0"/>
    <w:rsid w:val="7CF65D9E"/>
    <w:rsid w:val="7CFA221D"/>
    <w:rsid w:val="7D0370FA"/>
    <w:rsid w:val="7D3117C0"/>
    <w:rsid w:val="7D420D16"/>
    <w:rsid w:val="7D750008"/>
    <w:rsid w:val="7D9C2E91"/>
    <w:rsid w:val="7D9D28C2"/>
    <w:rsid w:val="7DEC3F4C"/>
    <w:rsid w:val="7E3212EB"/>
    <w:rsid w:val="7E3C1461"/>
    <w:rsid w:val="7E607C12"/>
    <w:rsid w:val="7E8C7B6E"/>
    <w:rsid w:val="7E8E7F62"/>
    <w:rsid w:val="7E921931"/>
    <w:rsid w:val="7EB859E3"/>
    <w:rsid w:val="7EBD3BD9"/>
    <w:rsid w:val="7EBE3E7A"/>
    <w:rsid w:val="7EC674C1"/>
    <w:rsid w:val="7ED327AE"/>
    <w:rsid w:val="7F013DB2"/>
    <w:rsid w:val="7F0C55C5"/>
    <w:rsid w:val="7F556DD2"/>
    <w:rsid w:val="7F557619"/>
    <w:rsid w:val="7F5C1D8E"/>
    <w:rsid w:val="7F5D2178"/>
    <w:rsid w:val="7F6B5361"/>
    <w:rsid w:val="7F73456C"/>
    <w:rsid w:val="7F841A19"/>
    <w:rsid w:val="7FBE3369"/>
    <w:rsid w:val="7FD67289"/>
    <w:rsid w:val="7FDD46D9"/>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iPriority="99" w:semiHidden="0" w:name="annotation text"/>
    <w:lsdException w:unhideWhenUsed="0" w:uiPriority="99"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paragraph" w:styleId="2">
    <w:name w:val="heading 1"/>
    <w:basedOn w:val="1"/>
    <w:next w:val="1"/>
    <w:link w:val="44"/>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33"/>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qFormat/>
    <w:uiPriority w:val="0"/>
    <w:pPr>
      <w:keepNext/>
      <w:keepLines/>
      <w:spacing w:before="260" w:after="260" w:line="416" w:lineRule="auto"/>
      <w:outlineLvl w:val="2"/>
    </w:pPr>
    <w:rPr>
      <w:rFonts w:ascii="Calibri" w:hAnsi="Calibri"/>
      <w:b/>
      <w:bCs/>
      <w:sz w:val="32"/>
      <w:szCs w:val="32"/>
    </w:rPr>
  </w:style>
  <w:style w:type="character" w:default="1" w:styleId="18">
    <w:name w:val="Default Paragraph Font"/>
    <w:semiHidden/>
    <w:uiPriority w:val="0"/>
  </w:style>
  <w:style w:type="table" w:default="1" w:styleId="29">
    <w:name w:val="Normal Table"/>
    <w:semiHidden/>
    <w:uiPriority w:val="0"/>
    <w:tblPr>
      <w:tblStyle w:val="29"/>
      <w:tblLayout w:type="fixed"/>
      <w:tblCellMar>
        <w:top w:w="0" w:type="dxa"/>
        <w:left w:w="108" w:type="dxa"/>
        <w:bottom w:w="0" w:type="dxa"/>
        <w:right w:w="108" w:type="dxa"/>
      </w:tblCellMar>
    </w:tblPr>
  </w:style>
  <w:style w:type="paragraph" w:styleId="5">
    <w:name w:val="annotation subject"/>
    <w:basedOn w:val="6"/>
    <w:next w:val="6"/>
    <w:link w:val="39"/>
    <w:unhideWhenUsed/>
    <w:uiPriority w:val="99"/>
    <w:rPr>
      <w:b/>
      <w:bCs/>
    </w:rPr>
  </w:style>
  <w:style w:type="paragraph" w:styleId="6">
    <w:name w:val="annotation text"/>
    <w:basedOn w:val="1"/>
    <w:link w:val="40"/>
    <w:unhideWhenUsed/>
    <w:uiPriority w:val="99"/>
    <w:pPr>
      <w:jc w:val="left"/>
    </w:pPr>
  </w:style>
  <w:style w:type="paragraph" w:styleId="7">
    <w:name w:val="toc 3"/>
    <w:basedOn w:val="1"/>
    <w:next w:val="1"/>
    <w:unhideWhenUsed/>
    <w:qFormat/>
    <w:uiPriority w:val="39"/>
    <w:pPr>
      <w:widowControl/>
      <w:spacing w:after="100" w:line="276" w:lineRule="auto"/>
      <w:ind w:left="440"/>
      <w:jc w:val="left"/>
    </w:pPr>
    <w:rPr>
      <w:rFonts w:ascii="Calibri" w:hAnsi="Calibri"/>
      <w:kern w:val="0"/>
      <w:sz w:val="22"/>
      <w:szCs w:val="22"/>
    </w:rPr>
  </w:style>
  <w:style w:type="paragraph" w:styleId="8">
    <w:name w:val="Plain Text"/>
    <w:basedOn w:val="1"/>
    <w:link w:val="37"/>
    <w:uiPriority w:val="0"/>
    <w:rPr>
      <w:rFonts w:ascii="宋体" w:hAnsi="Courier New"/>
      <w:szCs w:val="21"/>
    </w:rPr>
  </w:style>
  <w:style w:type="paragraph" w:styleId="9">
    <w:name w:val="Body Text Indent 2"/>
    <w:basedOn w:val="1"/>
    <w:uiPriority w:val="0"/>
    <w:pPr>
      <w:spacing w:line="540" w:lineRule="atLeast"/>
      <w:ind w:firstLine="480" w:firstLineChars="200"/>
      <w:jc w:val="left"/>
    </w:pPr>
    <w:rPr>
      <w:rFonts w:ascii="宋体" w:hAnsi="宋体"/>
      <w:color w:val="000000"/>
      <w:sz w:val="24"/>
      <w:szCs w:val="20"/>
    </w:rPr>
  </w:style>
  <w:style w:type="paragraph" w:styleId="10">
    <w:name w:val="Balloon Text"/>
    <w:basedOn w:val="1"/>
    <w:link w:val="46"/>
    <w:unhideWhenUsed/>
    <w:uiPriority w:val="99"/>
    <w:rPr>
      <w:sz w:val="18"/>
      <w:szCs w:val="18"/>
    </w:rPr>
  </w:style>
  <w:style w:type="paragraph" w:styleId="11">
    <w:name w:val="footer"/>
    <w:basedOn w:val="1"/>
    <w:link w:val="45"/>
    <w:uiPriority w:val="99"/>
    <w:pPr>
      <w:tabs>
        <w:tab w:val="center" w:pos="4153"/>
        <w:tab w:val="right" w:pos="8306"/>
      </w:tabs>
      <w:snapToGrid w:val="0"/>
      <w:jc w:val="left"/>
    </w:pPr>
    <w:rPr>
      <w:sz w:val="18"/>
      <w:szCs w:val="18"/>
    </w:rPr>
  </w:style>
  <w:style w:type="paragraph" w:styleId="12">
    <w:name w:val="header"/>
    <w:basedOn w:val="1"/>
    <w:link w:val="38"/>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pPr>
      <w:tabs>
        <w:tab w:val="right" w:leader="dot" w:pos="8296"/>
      </w:tabs>
      <w:spacing w:line="360" w:lineRule="auto"/>
    </w:pPr>
    <w:rPr>
      <w:rFonts w:ascii="宋体" w:hAnsi="宋体"/>
      <w:b/>
      <w:sz w:val="24"/>
      <w:lang/>
    </w:rPr>
  </w:style>
  <w:style w:type="paragraph" w:styleId="14">
    <w:name w:val="toc 2"/>
    <w:basedOn w:val="1"/>
    <w:next w:val="1"/>
    <w:unhideWhenUsed/>
    <w:qFormat/>
    <w:uiPriority w:val="39"/>
    <w:pPr>
      <w:ind w:left="420" w:leftChars="200"/>
    </w:pPr>
  </w:style>
  <w:style w:type="paragraph" w:styleId="15">
    <w:name w:val="HTML Preformatted"/>
    <w:basedOn w:val="1"/>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6">
    <w:name w:val="Normal (Web)"/>
    <w:basedOn w:val="1"/>
    <w:uiPriority w:val="0"/>
    <w:pPr>
      <w:widowControl/>
      <w:spacing w:before="100" w:beforeAutospacing="1" w:after="100" w:afterAutospacing="1"/>
      <w:jc w:val="left"/>
    </w:pPr>
    <w:rPr>
      <w:rFonts w:ascii="宋体" w:hAnsi="宋体" w:cs="宋体"/>
      <w:kern w:val="0"/>
      <w:sz w:val="24"/>
    </w:rPr>
  </w:style>
  <w:style w:type="paragraph" w:styleId="17">
    <w:name w:val="Title"/>
    <w:basedOn w:val="1"/>
    <w:next w:val="1"/>
    <w:link w:val="36"/>
    <w:qFormat/>
    <w:uiPriority w:val="10"/>
    <w:pPr>
      <w:spacing w:before="240" w:after="60"/>
      <w:jc w:val="center"/>
      <w:outlineLvl w:val="0"/>
    </w:pPr>
    <w:rPr>
      <w:rFonts w:ascii="Cambria" w:hAnsi="Cambria"/>
      <w:b/>
      <w:bCs/>
      <w:sz w:val="32"/>
      <w:szCs w:val="32"/>
    </w:rPr>
  </w:style>
  <w:style w:type="character" w:styleId="19">
    <w:name w:val="Strong"/>
    <w:basedOn w:val="18"/>
    <w:qFormat/>
    <w:uiPriority w:val="0"/>
    <w:rPr>
      <w:b/>
    </w:rPr>
  </w:style>
  <w:style w:type="character" w:styleId="20">
    <w:name w:val="page number"/>
    <w:basedOn w:val="18"/>
    <w:uiPriority w:val="0"/>
  </w:style>
  <w:style w:type="character" w:styleId="21">
    <w:name w:val="FollowedHyperlink"/>
    <w:basedOn w:val="18"/>
    <w:uiPriority w:val="0"/>
    <w:rPr>
      <w:color w:val="252525"/>
      <w:u w:val="none"/>
    </w:rPr>
  </w:style>
  <w:style w:type="character" w:styleId="22">
    <w:name w:val="Emphasis"/>
    <w:basedOn w:val="18"/>
    <w:qFormat/>
    <w:uiPriority w:val="0"/>
  </w:style>
  <w:style w:type="character" w:styleId="23">
    <w:name w:val="HTML Definition"/>
    <w:basedOn w:val="18"/>
    <w:uiPriority w:val="0"/>
  </w:style>
  <w:style w:type="character" w:styleId="24">
    <w:name w:val="HTML Acronym"/>
    <w:basedOn w:val="18"/>
    <w:uiPriority w:val="0"/>
  </w:style>
  <w:style w:type="character" w:styleId="25">
    <w:name w:val="HTML Variable"/>
    <w:basedOn w:val="18"/>
    <w:uiPriority w:val="0"/>
  </w:style>
  <w:style w:type="character" w:styleId="26">
    <w:name w:val="Hyperlink"/>
    <w:basedOn w:val="18"/>
    <w:uiPriority w:val="99"/>
    <w:rPr>
      <w:color w:val="0063C8"/>
      <w:u w:val="none"/>
    </w:rPr>
  </w:style>
  <w:style w:type="character" w:styleId="27">
    <w:name w:val="HTML Code"/>
    <w:basedOn w:val="18"/>
    <w:uiPriority w:val="0"/>
    <w:rPr>
      <w:rFonts w:ascii="Courier New" w:hAnsi="Courier New"/>
      <w:sz w:val="20"/>
    </w:rPr>
  </w:style>
  <w:style w:type="character" w:styleId="28">
    <w:name w:val="HTML Cite"/>
    <w:basedOn w:val="18"/>
    <w:uiPriority w:val="0"/>
  </w:style>
  <w:style w:type="paragraph" w:customStyle="1" w:styleId="30">
    <w:name w:val="列出段落"/>
    <w:basedOn w:val="1"/>
    <w:qFormat/>
    <w:uiPriority w:val="34"/>
    <w:pPr>
      <w:ind w:firstLine="420" w:firstLineChars="200"/>
    </w:pPr>
  </w:style>
  <w:style w:type="paragraph" w:customStyle="1" w:styleId="31">
    <w:name w:val="顿号级标题"/>
    <w:basedOn w:val="8"/>
    <w:uiPriority w:val="0"/>
    <w:pPr>
      <w:adjustRightInd w:val="0"/>
      <w:snapToGrid w:val="0"/>
      <w:spacing w:line="800" w:lineRule="exact"/>
    </w:pPr>
    <w:rPr>
      <w:rFonts w:ascii="方正小标宋简体" w:eastAsia="方正小标宋简体"/>
      <w:w w:val="120"/>
      <w:kern w:val="0"/>
      <w:sz w:val="24"/>
    </w:rPr>
  </w:style>
  <w:style w:type="paragraph" w:customStyle="1" w:styleId="32">
    <w:name w:val="p0"/>
    <w:basedOn w:val="1"/>
    <w:uiPriority w:val="0"/>
    <w:pPr>
      <w:widowControl/>
      <w:spacing w:before="100" w:beforeAutospacing="1" w:after="100" w:afterAutospacing="1"/>
      <w:jc w:val="left"/>
    </w:pPr>
    <w:rPr>
      <w:rFonts w:ascii="宋体" w:hAnsi="宋体" w:cs="宋体"/>
      <w:kern w:val="0"/>
      <w:sz w:val="24"/>
    </w:rPr>
  </w:style>
  <w:style w:type="character" w:customStyle="1" w:styleId="33">
    <w:name w:val="标题 2 Char"/>
    <w:link w:val="3"/>
    <w:uiPriority w:val="9"/>
    <w:rPr>
      <w:rFonts w:ascii="Cambria" w:hAnsi="Cambria" w:eastAsia="宋体"/>
      <w:b/>
      <w:bCs/>
      <w:kern w:val="2"/>
      <w:sz w:val="32"/>
      <w:szCs w:val="32"/>
      <w:lang w:val="en-US" w:eastAsia="zh-CN" w:bidi="ar-SA"/>
    </w:rPr>
  </w:style>
  <w:style w:type="character" w:customStyle="1" w:styleId="34">
    <w:name w:val=" Char Char8"/>
    <w:uiPriority w:val="0"/>
    <w:rPr>
      <w:rFonts w:ascii="Cambria" w:hAnsi="Cambria" w:eastAsia="宋体"/>
      <w:b/>
      <w:bCs/>
      <w:kern w:val="2"/>
      <w:sz w:val="32"/>
      <w:szCs w:val="32"/>
      <w:lang w:val="en-US" w:eastAsia="zh-CN" w:bidi="ar-SA"/>
    </w:rPr>
  </w:style>
  <w:style w:type="character" w:customStyle="1" w:styleId="35">
    <w:name w:val="hover38"/>
    <w:basedOn w:val="18"/>
    <w:uiPriority w:val="0"/>
    <w:rPr>
      <w:color w:val="3EAF0E"/>
    </w:rPr>
  </w:style>
  <w:style w:type="character" w:customStyle="1" w:styleId="36">
    <w:name w:val="标题 Char"/>
    <w:link w:val="17"/>
    <w:uiPriority w:val="10"/>
    <w:rPr>
      <w:rFonts w:ascii="Cambria" w:hAnsi="Cambria" w:eastAsia="宋体"/>
      <w:b/>
      <w:bCs/>
      <w:kern w:val="2"/>
      <w:sz w:val="32"/>
      <w:szCs w:val="32"/>
      <w:lang w:val="en-US" w:eastAsia="zh-CN" w:bidi="ar-SA"/>
    </w:rPr>
  </w:style>
  <w:style w:type="character" w:customStyle="1" w:styleId="37">
    <w:name w:val="纯文本 Char"/>
    <w:link w:val="8"/>
    <w:uiPriority w:val="0"/>
    <w:rPr>
      <w:rFonts w:ascii="宋体" w:hAnsi="Courier New" w:cs="Courier New"/>
      <w:kern w:val="2"/>
      <w:sz w:val="21"/>
      <w:szCs w:val="21"/>
    </w:rPr>
  </w:style>
  <w:style w:type="character" w:customStyle="1" w:styleId="38">
    <w:name w:val="页眉 Char"/>
    <w:link w:val="12"/>
    <w:uiPriority w:val="99"/>
    <w:rPr>
      <w:kern w:val="2"/>
      <w:sz w:val="18"/>
      <w:szCs w:val="18"/>
    </w:rPr>
  </w:style>
  <w:style w:type="character" w:customStyle="1" w:styleId="39">
    <w:name w:val="批注主题 Char"/>
    <w:basedOn w:val="40"/>
    <w:link w:val="5"/>
    <w:uiPriority w:val="99"/>
    <w:rPr>
      <w:b/>
      <w:bCs/>
    </w:rPr>
  </w:style>
  <w:style w:type="character" w:customStyle="1" w:styleId="40">
    <w:name w:val="批注文字 Char"/>
    <w:basedOn w:val="18"/>
    <w:link w:val="6"/>
    <w:uiPriority w:val="99"/>
    <w:rPr>
      <w:kern w:val="2"/>
      <w:sz w:val="21"/>
      <w:szCs w:val="24"/>
    </w:rPr>
  </w:style>
  <w:style w:type="character" w:customStyle="1" w:styleId="41">
    <w:name w:val="span-bg12"/>
    <w:basedOn w:val="18"/>
    <w:uiPriority w:val="0"/>
  </w:style>
  <w:style w:type="character" w:customStyle="1" w:styleId="42">
    <w:name w:val="hover37"/>
    <w:basedOn w:val="18"/>
    <w:uiPriority w:val="0"/>
    <w:rPr>
      <w:color w:val="3EAF0E"/>
    </w:rPr>
  </w:style>
  <w:style w:type="character" w:customStyle="1" w:styleId="43">
    <w:name w:val="span-hover12"/>
    <w:basedOn w:val="18"/>
    <w:uiPriority w:val="0"/>
  </w:style>
  <w:style w:type="character" w:customStyle="1" w:styleId="44">
    <w:name w:val="标题 1 Char"/>
    <w:basedOn w:val="18"/>
    <w:link w:val="2"/>
    <w:uiPriority w:val="9"/>
    <w:rPr>
      <w:b/>
      <w:bCs/>
      <w:kern w:val="44"/>
      <w:sz w:val="44"/>
      <w:szCs w:val="44"/>
    </w:rPr>
  </w:style>
  <w:style w:type="character" w:customStyle="1" w:styleId="45">
    <w:name w:val="页脚 Char"/>
    <w:link w:val="11"/>
    <w:uiPriority w:val="99"/>
    <w:rPr>
      <w:kern w:val="2"/>
      <w:sz w:val="18"/>
      <w:szCs w:val="18"/>
    </w:rPr>
  </w:style>
  <w:style w:type="character" w:customStyle="1" w:styleId="46">
    <w:name w:val="批注框文本 Char"/>
    <w:basedOn w:val="18"/>
    <w:link w:val="10"/>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1</Pages>
  <Words>1995</Words>
  <Characters>11377</Characters>
  <Lines>94</Lines>
  <Paragraphs>26</Paragraphs>
  <TotalTime>95</TotalTime>
  <ScaleCrop>false</ScaleCrop>
  <LinksUpToDate>false</LinksUpToDate>
  <CharactersWithSpaces>13346</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2016-12-15T19:51:00Z</dcterms:created>
  <dc:creator>微软用户</dc:creator>
  <cp:lastModifiedBy>daxysg</cp:lastModifiedBy>
  <cp:lastPrinted>2017-11-08T02:43:54Z</cp:lastPrinted>
  <dcterms:modified xsi:type="dcterms:W3CDTF">2019-02-19T02:28:49Z</dcterms:modified>
  <dc:title>******有限公司</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