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19" w:rsidRDefault="00F10419" w:rsidP="00CF7B10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523F51">
        <w:rPr>
          <w:rFonts w:hint="eastAsia"/>
          <w:b/>
          <w:bCs/>
          <w:color w:val="000000"/>
          <w:sz w:val="44"/>
          <w:szCs w:val="44"/>
        </w:rPr>
        <w:t>东安县</w:t>
      </w:r>
      <w:r>
        <w:rPr>
          <w:rFonts w:hint="eastAsia"/>
          <w:b/>
          <w:bCs/>
          <w:color w:val="000000"/>
          <w:sz w:val="44"/>
          <w:szCs w:val="44"/>
        </w:rPr>
        <w:t>政务中心</w:t>
      </w:r>
      <w:r w:rsidRPr="00523F51">
        <w:rPr>
          <w:b/>
          <w:bCs/>
          <w:color w:val="000000"/>
          <w:sz w:val="44"/>
          <w:szCs w:val="44"/>
        </w:rPr>
        <w:t>2018</w:t>
      </w:r>
      <w:r>
        <w:rPr>
          <w:rFonts w:hint="eastAsia"/>
          <w:b/>
          <w:bCs/>
          <w:color w:val="000000"/>
          <w:sz w:val="44"/>
          <w:szCs w:val="44"/>
        </w:rPr>
        <w:t>年度</w:t>
      </w:r>
      <w:r w:rsidRPr="00523F51">
        <w:rPr>
          <w:rFonts w:hint="eastAsia"/>
          <w:b/>
          <w:bCs/>
          <w:color w:val="000000"/>
          <w:sz w:val="44"/>
          <w:szCs w:val="44"/>
        </w:rPr>
        <w:t>专项资金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523F51">
        <w:rPr>
          <w:rFonts w:hint="eastAsia"/>
          <w:b/>
          <w:bCs/>
          <w:color w:val="000000"/>
          <w:sz w:val="44"/>
          <w:szCs w:val="44"/>
        </w:rPr>
        <w:t>绩效评价报告</w:t>
      </w:r>
    </w:p>
    <w:p w:rsidR="00F10419" w:rsidRDefault="00F10419" w:rsidP="00CF7B10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cs="Times New Roman"/>
          <w:color w:val="000000"/>
          <w:sz w:val="30"/>
          <w:szCs w:val="30"/>
        </w:rPr>
      </w:pPr>
      <w:r w:rsidRPr="00FF32AC">
        <w:rPr>
          <w:rFonts w:hint="eastAsia"/>
          <w:color w:val="000000"/>
          <w:sz w:val="30"/>
          <w:szCs w:val="30"/>
        </w:rPr>
        <w:t xml:space="preserve">　　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为充分发挥政务服务专项资金使用效率，根据《湖南省人民政府关于全面推进预算绩效管理的意见》，结合我县实际，对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年度县政务服务中心专项资金的基本情况、绩效情况、绩效评价指标分析情况等进行了分析和实地调查核实，按照评价指标和标准进行打分，现将绩效评价情况报告如下。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黑体" w:eastAsia="黑体" w:hAnsi="黑体" w:cs="黑体" w:hint="eastAsia"/>
          <w:color w:val="000000"/>
          <w:sz w:val="32"/>
          <w:szCs w:val="32"/>
        </w:rPr>
        <w:t>一、项目基本情况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楷体" w:eastAsia="楷体" w:hAnsi="楷体" w:cs="Times New Roman"/>
          <w:b/>
          <w:bCs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23F51">
        <w:rPr>
          <w:rFonts w:ascii="楷体" w:eastAsia="楷体" w:hAnsi="楷体" w:cs="楷体" w:hint="eastAsia"/>
          <w:color w:val="000000"/>
          <w:sz w:val="32"/>
          <w:szCs w:val="32"/>
        </w:rPr>
        <w:t>（一）</w:t>
      </w:r>
      <w:r w:rsidRPr="00523F51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项目概况</w:t>
      </w:r>
    </w:p>
    <w:p w:rsidR="00F10419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东安县政务中心为财政全额拨款的县政府直属正科级事业单位（加挂东安县政务公开办牌子），主要负责全县政务公开和政务服务工作的规划指导、组织协调、监督考核。中心内设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个科室，中心核定编制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6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名，现有在职干部职工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9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人（含工勤人员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名）。</w:t>
      </w:r>
    </w:p>
    <w:p w:rsidR="00F10419" w:rsidRPr="00CF7B10" w:rsidRDefault="00F10419" w:rsidP="00CF7B1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仿宋" w:eastAsia="仿宋" w:hAnsi="仿宋"/>
          <w:sz w:val="30"/>
          <w:szCs w:val="30"/>
        </w:rPr>
      </w:pPr>
      <w:r w:rsidRPr="00CF7B10">
        <w:rPr>
          <w:rFonts w:ascii="仿宋" w:eastAsia="仿宋" w:hAnsi="仿宋" w:cs="仿宋" w:hint="eastAsia"/>
          <w:sz w:val="30"/>
          <w:szCs w:val="30"/>
        </w:rPr>
        <w:t>主要职责：负责对纳入政务中心办公的单位进行监督管理和协调，受理各类政务的咨询、投诉，发布有关政务信息，指导督促全县政务公开工作，监督考核政务公开承诺事项及抓好政府采购中心管理等工作。</w:t>
      </w:r>
    </w:p>
    <w:p w:rsidR="00F10419" w:rsidRPr="003778BA" w:rsidRDefault="00F10419" w:rsidP="00CF7B1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年专项资金共</w:t>
      </w:r>
      <w:r>
        <w:rPr>
          <w:rFonts w:ascii="仿宋" w:eastAsia="仿宋" w:hAnsi="仿宋" w:cs="仿宋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万元：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、政务大楼运行经费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、政府信息公开经费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、业务费经费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楷体" w:eastAsia="楷体" w:hAnsi="楷体" w:cs="Times New Roman"/>
          <w:b/>
          <w:bCs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 w:rsidRPr="00523F51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（二）资金性质、用途和使用原则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政务服务专项资金属县财政预算安排的财政性资金，专项用于县政务中心运转及设备运维、县政务中心水电及运维、县政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府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信息公开。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firstLine="600"/>
        <w:rPr>
          <w:rFonts w:ascii="黑体" w:eastAsia="黑体" w:hAnsi="黑体" w:cs="Times New Roman"/>
          <w:color w:val="000000"/>
          <w:sz w:val="32"/>
          <w:szCs w:val="32"/>
        </w:rPr>
      </w:pPr>
      <w:r w:rsidRPr="00523F51">
        <w:rPr>
          <w:rFonts w:ascii="黑体" w:eastAsia="黑体" w:hAnsi="黑体" w:cs="黑体" w:hint="eastAsia"/>
          <w:color w:val="000000"/>
          <w:sz w:val="32"/>
          <w:szCs w:val="32"/>
        </w:rPr>
        <w:t>二、绩效评价目标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年县政务服务中心专项资金通过优化资金配置，严格财务管理，把有限的资金用到刀刃上。政务服务专项资金对引导我县政务服务、政务公开工作的发展发挥了重要作用。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黑体" w:eastAsia="黑体" w:hAnsi="黑体" w:cs="黑体" w:hint="eastAsia"/>
          <w:color w:val="000000"/>
          <w:sz w:val="32"/>
          <w:szCs w:val="32"/>
        </w:rPr>
        <w:t>三、评价指标分析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楷体" w:eastAsia="楷体" w:hAnsi="楷体" w:cs="Times New Roman"/>
          <w:b/>
          <w:bCs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（一）项目资金情况分析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、项目资金到位情况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年度县政务中心专项资金共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110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万元，截止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12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日，县财政拨款资金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110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万元，到位率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100%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、项目资金使用情况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政务服务专项资金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110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万元。主要用于县政务中心运转及设备运维费</w:t>
      </w:r>
      <w:r>
        <w:rPr>
          <w:rFonts w:ascii="仿宋" w:eastAsia="仿宋" w:hAnsi="仿宋" w:cs="仿宋"/>
          <w:color w:val="000000"/>
          <w:sz w:val="32"/>
          <w:szCs w:val="32"/>
        </w:rPr>
        <w:t>80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万元、县政务中心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业务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费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5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万元、县政府信息公开专项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5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3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、项目资金管理情况</w:t>
      </w:r>
    </w:p>
    <w:p w:rsidR="00F10419" w:rsidRPr="00CF7B10" w:rsidRDefault="00F10419" w:rsidP="00CF7B10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523F51">
        <w:rPr>
          <w:rFonts w:cs="宋体" w:hint="eastAsia"/>
        </w:rPr>
        <w:t xml:space="preserve">　　</w:t>
      </w:r>
      <w:r w:rsidRPr="00CF7B10">
        <w:rPr>
          <w:rFonts w:ascii="仿宋" w:eastAsia="仿宋" w:hAnsi="仿宋" w:cs="仿宋" w:hint="eastAsia"/>
          <w:sz w:val="30"/>
          <w:szCs w:val="30"/>
        </w:rPr>
        <w:t>根据《中华人民共和国预算法》，我单位严格按照省、市有关法规组织申报、评申、下达和公示公开。为保证专项资金的安全与完整，根据上级文件要求，我们完善了东安县政务服务专项资金管理办法等制度。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楷体" w:eastAsia="楷体" w:hAnsi="楷体" w:cs="Times New Roman"/>
          <w:b/>
          <w:bCs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（二）项目绩效情况分析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年，在县委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县政府的正确领导下，县政务中心以全面深化改革和简政放权为抓手，以提高群众满意率为目标，运用“互联网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+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政务服务”思维，不断改革创新，取得一定成效。县政务中心共办理各类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多万件，即办率近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90%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；全县主动公开政府信息超过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10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万条，其中涉及财政、审批、收费价格、人事等重点信息数万条。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1.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突出重点公开，抓行政权力公开透明。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继续探索“互联网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+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政务公开”新方式、新渠道，推进政务公开向纵深发展。一是推进重点公开，带动部门信息公开。要求各单位认真做好行政审批、财政预决算、公共资源、公共服务、公共监管等重点领域信息公开工作。二是运用“互联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+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”手段，拓展公开渠道。紧紧盯着“互联网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+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”时代下的亮点，积极引导各部门借助微信、微博、互联网、手机短信等新媒体及时发布各类信息，引导社会正舆论，传播社会正能量。三是健全制度建设，夯实政务公开基础。先后印发了《东安县政务公开考核办法》、《东安县政府信息依申请公开管理办法》及《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年政务公开工作要点》。四是围绕社会关切的热点，做好政策解读和依申请公开。在县政府网站设置政策解读专栏，从中央、省市多层面多角度加强政策解读，增进公众对政府工作的了解，保障政策发布的实效。同时，出台《政府信息依申请公开管理办法》，建立健全了群众申请信息公开的制度建设。　　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firstLine="600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/>
          <w:color w:val="000000"/>
          <w:sz w:val="32"/>
          <w:szCs w:val="32"/>
        </w:rPr>
        <w:t>2.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突出项目建设与应用，抓电子政务纵深发展。围绕集约融合共享开放，突出项目建设和应用并重，以资源整合为手段，推进系统平台互联互通和资源共享。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3.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突出提速增效，推进政务服务持续发展。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（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）抓简政放权，不断强化政务服务功能。围绕企业和群众需求，按照“审批提速、服务提质”的工作目标，一是优化办事流程。经过全面清理，县政务中心共计进驻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27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个单位、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4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项政务服务事项。二是创新审批方式。围绕项目审批、企业设立和不动产登记这三条主线，整合窗口资源，全面开展工程项目审批、企业设立和不动产登记“一站式”服务和并联审批。三是推进办事公开。组织协调进驻窗口单位开展“六个一”办事公开。目前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政务中心共制作窗口公示牌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块、窗口办事指南数万份，尽可能解决群众办事疑惑，让群众办事少跑路。四是推行便民服务。树立“以人为本、服务至上”理念，围绕群众需求，继续完善了审批服务一次性告知、咨询导引、首问负责制等刚性服务和预约服务、延时服务、上门服务等特色服务，尽可能做到不让群众跑“回头路”。五是完善投诉处理。进一步完善窗口投诉处理机制，强化投诉处置及时回访，及时解决办事群众遇到的困难和问题，全年共收到群众咨询投诉近百起，均得到及时处理，群众满意度继续保持较高水平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黑体" w:eastAsia="黑体" w:hAnsi="黑体" w:cs="黑体" w:hint="eastAsia"/>
          <w:color w:val="000000"/>
          <w:sz w:val="32"/>
          <w:szCs w:val="32"/>
        </w:rPr>
        <w:t>四、绩效评价结果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年县政务中心政务服务专项资金完成情况基本达到了预期目标，项目全部纳入政府管理，符合国家财务管理制度等相关规定。经我们评价组评价后一致认为，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年县政务中心政务服务专项资金落实到位、政策执行有力、资金使用规范。但在项目目标内容和实施后期管理方面尚存在不足。根据《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年县政务中心政务服务专项资金绩效评价指标及评分表》，综合评分为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85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分，重点绩效评价等级为“良”。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黑体" w:eastAsia="黑体" w:hAnsi="黑体" w:cs="黑体" w:hint="eastAsia"/>
          <w:color w:val="000000"/>
          <w:sz w:val="32"/>
          <w:szCs w:val="32"/>
        </w:rPr>
        <w:t>五、问题和建议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存在的问题：财务人员因专业知识储备不足、学习不系统，资金预算管理水平有待进一步提高。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 w:rsidRPr="00523F51">
        <w:rPr>
          <w:rFonts w:ascii="仿宋" w:eastAsia="仿宋" w:hAnsi="仿宋" w:cs="仿宋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具体建议：一是建议加强预算管理，完善绩效考核目标，考核目标尽量明确、细化和量化，进一步提高资金使用效率；二是建立和完善专项资金使用管理制度，专项资金要全过程纳入绩效评估体系；三是加大舆论宣传，提高政策知晓度；加强培训，提高财务人员的业务水平。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right="96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523F51">
        <w:rPr>
          <w:rFonts w:ascii="仿宋" w:eastAsia="仿宋" w:hAnsi="仿宋" w:cs="仿宋" w:hint="eastAsia"/>
          <w:color w:val="000000"/>
          <w:sz w:val="32"/>
          <w:szCs w:val="32"/>
        </w:rPr>
        <w:t>东安县政务服务中心</w:t>
      </w:r>
    </w:p>
    <w:p w:rsidR="00F10419" w:rsidRPr="00523F51" w:rsidRDefault="00F10419" w:rsidP="00CF7B10">
      <w:pPr>
        <w:pStyle w:val="NormalWeb"/>
        <w:shd w:val="clear" w:color="auto" w:fill="FFFFFF"/>
        <w:spacing w:before="0" w:beforeAutospacing="0" w:after="0" w:afterAutospacing="0" w:line="500" w:lineRule="exact"/>
        <w:ind w:right="960"/>
        <w:jc w:val="right"/>
        <w:rPr>
          <w:rFonts w:ascii="仿宋" w:eastAsia="仿宋" w:hAnsi="仿宋" w:cs="Times New Roman"/>
          <w:sz w:val="32"/>
          <w:szCs w:val="32"/>
        </w:rPr>
      </w:pPr>
      <w:r w:rsidRPr="00523F51">
        <w:rPr>
          <w:rFonts w:ascii="仿宋" w:eastAsia="仿宋" w:hAnsi="仿宋" w:cs="仿宋"/>
          <w:sz w:val="32"/>
          <w:szCs w:val="32"/>
        </w:rPr>
        <w:t>2018</w:t>
      </w:r>
      <w:r w:rsidRPr="00523F51">
        <w:rPr>
          <w:rFonts w:ascii="仿宋" w:eastAsia="仿宋" w:hAnsi="仿宋" w:cs="仿宋" w:hint="eastAsia"/>
          <w:sz w:val="32"/>
          <w:szCs w:val="32"/>
        </w:rPr>
        <w:t>年</w:t>
      </w:r>
      <w:r w:rsidRPr="00523F51">
        <w:rPr>
          <w:rFonts w:ascii="仿宋" w:eastAsia="仿宋" w:hAnsi="仿宋" w:cs="仿宋"/>
          <w:sz w:val="32"/>
          <w:szCs w:val="32"/>
        </w:rPr>
        <w:t>12</w:t>
      </w:r>
      <w:r w:rsidRPr="00523F51">
        <w:rPr>
          <w:rFonts w:ascii="仿宋" w:eastAsia="仿宋" w:hAnsi="仿宋" w:cs="仿宋" w:hint="eastAsia"/>
          <w:sz w:val="32"/>
          <w:szCs w:val="32"/>
        </w:rPr>
        <w:t>月</w:t>
      </w:r>
      <w:r w:rsidRPr="00523F51">
        <w:rPr>
          <w:rFonts w:ascii="仿宋" w:eastAsia="仿宋" w:hAnsi="仿宋" w:cs="仿宋"/>
          <w:sz w:val="32"/>
          <w:szCs w:val="32"/>
        </w:rPr>
        <w:t>10</w:t>
      </w:r>
      <w:r w:rsidRPr="00523F51">
        <w:rPr>
          <w:rFonts w:ascii="仿宋" w:eastAsia="仿宋" w:hAnsi="仿宋" w:cs="仿宋" w:hint="eastAsia"/>
          <w:sz w:val="32"/>
          <w:szCs w:val="32"/>
        </w:rPr>
        <w:t>日</w:t>
      </w:r>
    </w:p>
    <w:p w:rsidR="00F10419" w:rsidRPr="00CF7B10" w:rsidRDefault="00F10419" w:rsidP="00FF3AC2">
      <w:pPr>
        <w:adjustRightInd w:val="0"/>
        <w:snapToGrid w:val="0"/>
        <w:spacing w:line="600" w:lineRule="exact"/>
        <w:ind w:firstLineChars="1300" w:firstLine="31680"/>
        <w:rPr>
          <w:rFonts w:eastAsia="仿宋_GB2312"/>
          <w:sz w:val="32"/>
          <w:szCs w:val="32"/>
        </w:rPr>
      </w:pPr>
    </w:p>
    <w:sectPr w:rsidR="00F10419" w:rsidRPr="00CF7B10" w:rsidSect="0087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19" w:rsidRDefault="00F10419" w:rsidP="00D9303D">
      <w:r>
        <w:separator/>
      </w:r>
    </w:p>
  </w:endnote>
  <w:endnote w:type="continuationSeparator" w:id="0">
    <w:p w:rsidR="00F10419" w:rsidRDefault="00F10419" w:rsidP="00D9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19" w:rsidRDefault="00F10419" w:rsidP="00D9303D">
      <w:r>
        <w:separator/>
      </w:r>
    </w:p>
  </w:footnote>
  <w:footnote w:type="continuationSeparator" w:id="0">
    <w:p w:rsidR="00F10419" w:rsidRDefault="00F10419" w:rsidP="00D9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62"/>
    <w:rsid w:val="000169A9"/>
    <w:rsid w:val="00060FF1"/>
    <w:rsid w:val="00101779"/>
    <w:rsid w:val="002152CB"/>
    <w:rsid w:val="00255804"/>
    <w:rsid w:val="00273308"/>
    <w:rsid w:val="002D5E9F"/>
    <w:rsid w:val="002E6807"/>
    <w:rsid w:val="00336928"/>
    <w:rsid w:val="00336C44"/>
    <w:rsid w:val="00347F9B"/>
    <w:rsid w:val="00376D0F"/>
    <w:rsid w:val="003778BA"/>
    <w:rsid w:val="004A7881"/>
    <w:rsid w:val="004A7F48"/>
    <w:rsid w:val="00502606"/>
    <w:rsid w:val="00503E76"/>
    <w:rsid w:val="00523F51"/>
    <w:rsid w:val="00536EB5"/>
    <w:rsid w:val="00541B5C"/>
    <w:rsid w:val="0056201E"/>
    <w:rsid w:val="00581FCD"/>
    <w:rsid w:val="005F4C5A"/>
    <w:rsid w:val="006F26B2"/>
    <w:rsid w:val="007170D3"/>
    <w:rsid w:val="00746AE9"/>
    <w:rsid w:val="00794D30"/>
    <w:rsid w:val="007B4FAC"/>
    <w:rsid w:val="00810DEB"/>
    <w:rsid w:val="00846CEA"/>
    <w:rsid w:val="00873E88"/>
    <w:rsid w:val="008B5D19"/>
    <w:rsid w:val="00910787"/>
    <w:rsid w:val="00956362"/>
    <w:rsid w:val="00A41785"/>
    <w:rsid w:val="00A626F9"/>
    <w:rsid w:val="00A875AB"/>
    <w:rsid w:val="00A97E7F"/>
    <w:rsid w:val="00AE43B2"/>
    <w:rsid w:val="00B15837"/>
    <w:rsid w:val="00B62B75"/>
    <w:rsid w:val="00BD3780"/>
    <w:rsid w:val="00BF1A2A"/>
    <w:rsid w:val="00BF43F0"/>
    <w:rsid w:val="00C64A02"/>
    <w:rsid w:val="00CC4A2B"/>
    <w:rsid w:val="00CC7E80"/>
    <w:rsid w:val="00CF7B10"/>
    <w:rsid w:val="00D137EE"/>
    <w:rsid w:val="00D9303D"/>
    <w:rsid w:val="00E13133"/>
    <w:rsid w:val="00E45E3F"/>
    <w:rsid w:val="00F10419"/>
    <w:rsid w:val="00F1547C"/>
    <w:rsid w:val="00FF32AC"/>
    <w:rsid w:val="00FF3AC2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62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13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3133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9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13133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CF7B1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405506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rsid w:val="00CF7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5</Pages>
  <Words>360</Words>
  <Characters>2057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戴尔</cp:lastModifiedBy>
  <cp:revision>12</cp:revision>
  <dcterms:created xsi:type="dcterms:W3CDTF">2016-10-13T05:18:00Z</dcterms:created>
  <dcterms:modified xsi:type="dcterms:W3CDTF">2018-12-11T07:10:00Z</dcterms:modified>
</cp:coreProperties>
</file>