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东安县工伤保险中心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东安县工伤保险中心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文远专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101.61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严格控制“三公经费”支出，部门预算及“三公经费”要按文件精神及时公开。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目标2：继续进行工伤保险扩面工作，提高县内企业参保率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.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目标3：全年征缴工伤保险基金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三公经费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万，其中公务接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实际支出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3.5万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严格控制支出数量，节约开支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进度指标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按照规划进行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工伤保险征缴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工作开展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全年征缴工伤保险基金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600万元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征缴工伤保险基金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645万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会计核算制度革，财务人员的变化，无法更快更准确的提供各项数据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合理安排预算支出计划，加强预算的控制。科学编制预算，提高预算准确率。</w:t>
            </w:r>
            <w:r>
              <w:rPr>
                <w:rFonts w:hint="eastAsia" w:ascii="仿宋_GB2312" w:hAnsi="仿宋_GB2312" w:eastAsia="仿宋_GB2312"/>
                <w:sz w:val="24"/>
              </w:rPr>
              <w:t>加强财务人员的培训，提高工作效率和质量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文远专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填报人（签章）：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胡宇迪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15386307787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12 </w:t>
      </w:r>
      <w:r>
        <w:rPr>
          <w:rFonts w:hint="eastAsia" w:ascii="仿宋_GB2312" w:hAnsi="仿宋_GB2312" w:eastAsia="仿宋_GB2312"/>
          <w:bCs/>
          <w:sz w:val="24"/>
        </w:rPr>
        <w:t xml:space="preserve">月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4"/>
        </w:rPr>
        <w:t xml:space="preserve">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8E06747"/>
    <w:rsid w:val="0C1C55E7"/>
    <w:rsid w:val="24CD7395"/>
    <w:rsid w:val="3C3F4169"/>
    <w:rsid w:val="462029F1"/>
    <w:rsid w:val="7D0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2018-12-19T06:53:27Z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