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22293">
        <w:rPr>
          <w:rFonts w:ascii="仿宋_GB2312" w:eastAsia="仿宋_GB2312" w:hint="eastAsia"/>
          <w:sz w:val="32"/>
          <w:szCs w:val="32"/>
          <w:u w:val="single"/>
        </w:rPr>
        <w:t>东安县新型农村合作医疗管理办公室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22293">
        <w:rPr>
          <w:rFonts w:ascii="仿宋_GB2312" w:eastAsia="仿宋_GB2312" w:hint="eastAsia"/>
          <w:sz w:val="32"/>
          <w:szCs w:val="32"/>
          <w:u w:val="single"/>
        </w:rPr>
        <w:t>漆长军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22293">
        <w:rPr>
          <w:rFonts w:ascii="仿宋_GB2312" w:eastAsia="仿宋_GB2312" w:hint="eastAsia"/>
          <w:sz w:val="32"/>
          <w:szCs w:val="32"/>
          <w:u w:val="single"/>
        </w:rPr>
        <w:t>周庆庆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22293">
        <w:rPr>
          <w:rFonts w:ascii="仿宋_GB2312" w:eastAsia="仿宋_GB2312" w:hint="eastAsia"/>
          <w:sz w:val="32"/>
          <w:szCs w:val="32"/>
          <w:u w:val="single"/>
        </w:rPr>
        <w:t>周庆庆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22293">
        <w:rPr>
          <w:rFonts w:ascii="仿宋_GB2312" w:eastAsia="仿宋_GB2312"/>
          <w:sz w:val="32"/>
          <w:szCs w:val="32"/>
          <w:u w:val="single"/>
        </w:rPr>
        <w:t>07464217686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22293">
        <w:rPr>
          <w:rFonts w:ascii="仿宋_GB2312" w:eastAsia="仿宋_GB2312" w:hint="eastAsia"/>
          <w:sz w:val="32"/>
          <w:szCs w:val="32"/>
          <w:u w:val="single"/>
        </w:rPr>
        <w:t>东安县白牙市镇八角街108号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22293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722293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722293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722293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006599990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722293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722293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722293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197,660,000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722293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722293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722293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722293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东安县新型农村合作医疗管理办公室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722293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72229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722293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722293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722293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周庆庆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72229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72229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72229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72229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72229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7222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72229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722293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72229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72229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7222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72229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72229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722293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72229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722293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72229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72229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72229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722293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7222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72229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722293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72229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72229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72229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72229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722293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722293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722293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CE7DE4">
            <w:pPr>
              <w:rPr>
                <w:color w:val="000000"/>
                <w:sz w:val="22"/>
                <w:szCs w:val="22"/>
              </w:rPr>
            </w:pP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722293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72229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2293" w:rsidRDefault="0072229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CE7DE4">
            <w:pPr>
              <w:rPr>
                <w:color w:val="000000"/>
                <w:sz w:val="22"/>
                <w:szCs w:val="22"/>
              </w:rPr>
            </w:pP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72229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2293" w:rsidRDefault="0072229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CE7DE4">
            <w:pPr>
              <w:rPr>
                <w:color w:val="000000"/>
                <w:sz w:val="22"/>
                <w:szCs w:val="22"/>
              </w:rPr>
            </w:pP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72229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2293" w:rsidRDefault="0072229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293" w:rsidRDefault="00722293" w:rsidP="00CE7DE4">
            <w:pPr>
              <w:rPr>
                <w:color w:val="000000"/>
                <w:sz w:val="22"/>
                <w:szCs w:val="22"/>
              </w:rPr>
            </w:pP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722293" w:rsidRDefault="0072229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722293" w:rsidRDefault="00722293" w:rsidP="0002549F">
            <w:pPr>
              <w:spacing w:line="360" w:lineRule="auto"/>
              <w:rPr>
                <w:sz w:val="24"/>
              </w:rPr>
            </w:pP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722293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岗位设臵不够合理</w:t>
            </w:r>
          </w:p>
          <w:p w:rsidR="00722293" w:rsidRDefault="00722293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由于多种原因，一些单位岗位安排不尽合理，存在一人多岗、不相容岗位兼职现象。记账人员、保管人员、经济业务决策人员及经办人员没有很好的分离制约，存在出纳兼复核、采购兼保管等现象，出现管理漏洞。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722293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722293" w:rsidRDefault="0072229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722293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33" w:rsidRDefault="00D86533">
      <w:r>
        <w:separator/>
      </w:r>
    </w:p>
  </w:endnote>
  <w:endnote w:type="continuationSeparator" w:id="1">
    <w:p w:rsidR="00D86533" w:rsidRDefault="00D8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04F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33" w:rsidRDefault="00D86533">
      <w:r>
        <w:separator/>
      </w:r>
    </w:p>
  </w:footnote>
  <w:footnote w:type="continuationSeparator" w:id="1">
    <w:p w:rsidR="00D86533" w:rsidRDefault="00D8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5622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404F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2293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86533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798</Words>
  <Characters>4553</Characters>
  <Application>Microsoft Office Word</Application>
  <DocSecurity>0</DocSecurity>
  <Lines>37</Lines>
  <Paragraphs>10</Paragraphs>
  <ScaleCrop>false</ScaleCrop>
  <Company>微软中国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2017-04-17T00:59:00Z</dcterms:created>
  <dcterms:modified xsi:type="dcterms:W3CDTF">2017-04-17T00:59:00Z</dcterms:modified>
</cp:coreProperties>
</file>