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61" w:rsidRDefault="00313161" w:rsidP="004F334B">
      <w:pPr>
        <w:ind w:firstLineChars="50" w:firstLine="220"/>
        <w:rPr>
          <w:rFonts w:ascii="黑体" w:eastAsia="黑体"/>
          <w:sz w:val="44"/>
          <w:szCs w:val="44"/>
        </w:rPr>
      </w:pPr>
      <w:r>
        <w:rPr>
          <w:rFonts w:ascii="黑体" w:eastAsia="黑体" w:hint="eastAsia"/>
          <w:sz w:val="44"/>
          <w:szCs w:val="44"/>
        </w:rPr>
        <w:t>2016</w:t>
      </w:r>
      <w:r w:rsidR="00A566A4">
        <w:rPr>
          <w:rFonts w:ascii="黑体" w:eastAsia="黑体" w:hint="eastAsia"/>
          <w:sz w:val="44"/>
          <w:szCs w:val="44"/>
        </w:rPr>
        <w:t>年</w:t>
      </w:r>
      <w:r w:rsidR="004F334B">
        <w:rPr>
          <w:rFonts w:ascii="黑体" w:eastAsia="黑体" w:hint="eastAsia"/>
          <w:sz w:val="44"/>
          <w:szCs w:val="44"/>
        </w:rPr>
        <w:t>东</w:t>
      </w:r>
      <w:r w:rsidR="00266BF3">
        <w:rPr>
          <w:rFonts w:ascii="黑体" w:eastAsia="黑体" w:hint="eastAsia"/>
          <w:sz w:val="44"/>
          <w:szCs w:val="44"/>
        </w:rPr>
        <w:t>安</w:t>
      </w:r>
      <w:r>
        <w:rPr>
          <w:rFonts w:ascii="黑体" w:eastAsia="黑体" w:hint="eastAsia"/>
          <w:sz w:val="44"/>
          <w:szCs w:val="44"/>
        </w:rPr>
        <w:t>县卫生计生综合监督执法局</w:t>
      </w:r>
      <w:r w:rsidR="00A566A4">
        <w:rPr>
          <w:rFonts w:ascii="黑体" w:eastAsia="黑体" w:hint="eastAsia"/>
          <w:sz w:val="44"/>
          <w:szCs w:val="44"/>
        </w:rPr>
        <w:t>决算</w:t>
      </w:r>
    </w:p>
    <w:p w:rsidR="00A566A4" w:rsidRDefault="00A566A4" w:rsidP="00313161">
      <w:pPr>
        <w:ind w:firstLineChars="600" w:firstLine="2640"/>
        <w:rPr>
          <w:rFonts w:ascii="黑体" w:eastAsia="黑体"/>
          <w:sz w:val="44"/>
          <w:szCs w:val="44"/>
        </w:rPr>
      </w:pPr>
      <w:r>
        <w:rPr>
          <w:rFonts w:ascii="黑体" w:eastAsia="黑体" w:hint="eastAsia"/>
          <w:sz w:val="44"/>
          <w:szCs w:val="44"/>
        </w:rPr>
        <w:t>基本情况说明</w:t>
      </w:r>
    </w:p>
    <w:p w:rsidR="00A566A4" w:rsidRDefault="00A566A4">
      <w:pPr>
        <w:jc w:val="center"/>
        <w:rPr>
          <w:rFonts w:ascii="黑体" w:eastAsia="黑体"/>
          <w:sz w:val="32"/>
          <w:szCs w:val="32"/>
        </w:rPr>
      </w:pPr>
    </w:p>
    <w:p w:rsidR="00A566A4" w:rsidRPr="00DB44C8" w:rsidRDefault="0006283D" w:rsidP="00703984">
      <w:pPr>
        <w:ind w:firstLineChars="200" w:firstLine="640"/>
        <w:rPr>
          <w:rFonts w:ascii="黑体" w:eastAsia="黑体"/>
          <w:sz w:val="32"/>
          <w:szCs w:val="32"/>
        </w:rPr>
      </w:pPr>
      <w:r>
        <w:rPr>
          <w:rFonts w:ascii="黑体" w:eastAsia="黑体" w:hint="eastAsia"/>
          <w:sz w:val="32"/>
          <w:szCs w:val="32"/>
        </w:rPr>
        <w:t>一、</w:t>
      </w:r>
      <w:r w:rsidR="00A566A4" w:rsidRPr="00DB44C8">
        <w:rPr>
          <w:rFonts w:ascii="黑体" w:eastAsia="黑体" w:hint="eastAsia"/>
          <w:sz w:val="32"/>
          <w:szCs w:val="32"/>
        </w:rPr>
        <w:t>部门基本情况</w:t>
      </w:r>
    </w:p>
    <w:p w:rsidR="00A566A4" w:rsidRPr="006665B0" w:rsidRDefault="00A566A4" w:rsidP="006665B0">
      <w:pPr>
        <w:ind w:firstLineChars="147" w:firstLine="472"/>
        <w:rPr>
          <w:rFonts w:ascii="仿宋" w:eastAsia="仿宋" w:hAnsi="仿宋"/>
          <w:b/>
          <w:sz w:val="32"/>
          <w:szCs w:val="32"/>
        </w:rPr>
      </w:pPr>
      <w:r w:rsidRPr="006665B0">
        <w:rPr>
          <w:rFonts w:ascii="仿宋" w:eastAsia="仿宋" w:hAnsi="仿宋" w:hint="eastAsia"/>
          <w:b/>
          <w:sz w:val="32"/>
          <w:szCs w:val="32"/>
        </w:rPr>
        <w:t>（一）部门机构设置、职能</w:t>
      </w:r>
    </w:p>
    <w:p w:rsidR="00E12D42" w:rsidRPr="006665B0" w:rsidRDefault="00E12D42" w:rsidP="00E12D42">
      <w:pPr>
        <w:widowControl/>
        <w:spacing w:line="600" w:lineRule="exact"/>
        <w:ind w:leftChars="-100" w:left="-210" w:firstLineChars="220" w:firstLine="660"/>
        <w:rPr>
          <w:rFonts w:ascii="仿宋" w:eastAsia="仿宋" w:hAnsi="仿宋"/>
          <w:bCs/>
          <w:kern w:val="0"/>
          <w:sz w:val="32"/>
          <w:szCs w:val="32"/>
        </w:rPr>
      </w:pPr>
      <w:r w:rsidRPr="006665B0">
        <w:rPr>
          <w:rFonts w:ascii="仿宋" w:eastAsia="仿宋" w:hAnsi="仿宋"/>
          <w:sz w:val="30"/>
          <w:szCs w:val="30"/>
        </w:rPr>
        <w:t>县卫生</w:t>
      </w:r>
      <w:r w:rsidRPr="006665B0">
        <w:rPr>
          <w:rFonts w:ascii="仿宋" w:eastAsia="仿宋" w:hAnsi="仿宋" w:hint="eastAsia"/>
          <w:sz w:val="30"/>
          <w:szCs w:val="30"/>
        </w:rPr>
        <w:t>计生综合监督执法局</w:t>
      </w:r>
      <w:r w:rsidRPr="006665B0">
        <w:rPr>
          <w:rFonts w:ascii="仿宋" w:eastAsia="仿宋" w:hAnsi="仿宋"/>
          <w:sz w:val="30"/>
          <w:szCs w:val="30"/>
        </w:rPr>
        <w:t>主要职责是负责全县公共场所</w:t>
      </w:r>
      <w:r w:rsidRPr="006665B0">
        <w:rPr>
          <w:rFonts w:ascii="仿宋" w:eastAsia="仿宋" w:hAnsi="仿宋" w:hint="eastAsia"/>
          <w:sz w:val="30"/>
          <w:szCs w:val="30"/>
        </w:rPr>
        <w:t>卫生</w:t>
      </w:r>
      <w:r w:rsidRPr="006665B0">
        <w:rPr>
          <w:rFonts w:ascii="仿宋" w:eastAsia="仿宋" w:hAnsi="仿宋"/>
          <w:sz w:val="30"/>
          <w:szCs w:val="30"/>
        </w:rPr>
        <w:t>、</w:t>
      </w:r>
      <w:r w:rsidRPr="006665B0">
        <w:rPr>
          <w:rFonts w:ascii="仿宋" w:eastAsia="仿宋" w:hAnsi="仿宋" w:hint="eastAsia"/>
          <w:sz w:val="30"/>
          <w:szCs w:val="30"/>
        </w:rPr>
        <w:t>学校卫生及消毒产品和涉及饮用水安全产品进行监督检查</w:t>
      </w:r>
      <w:r w:rsidRPr="006665B0">
        <w:rPr>
          <w:rFonts w:ascii="仿宋" w:eastAsia="仿宋" w:hAnsi="仿宋"/>
          <w:sz w:val="30"/>
          <w:szCs w:val="30"/>
        </w:rPr>
        <w:t>；</w:t>
      </w:r>
      <w:r w:rsidRPr="006665B0">
        <w:rPr>
          <w:rFonts w:ascii="仿宋" w:eastAsia="仿宋" w:hAnsi="仿宋" w:hint="eastAsia"/>
          <w:sz w:val="30"/>
          <w:szCs w:val="30"/>
        </w:rPr>
        <w:t>负责</w:t>
      </w:r>
      <w:r w:rsidRPr="006665B0">
        <w:rPr>
          <w:rFonts w:ascii="仿宋" w:eastAsia="仿宋" w:hAnsi="仿宋"/>
          <w:sz w:val="30"/>
          <w:szCs w:val="30"/>
        </w:rPr>
        <w:t>对</w:t>
      </w:r>
      <w:r w:rsidRPr="006665B0">
        <w:rPr>
          <w:rFonts w:ascii="仿宋" w:eastAsia="仿宋" w:hAnsi="仿宋" w:hint="eastAsia"/>
          <w:sz w:val="30"/>
          <w:szCs w:val="30"/>
        </w:rPr>
        <w:t>医疗机构、采供血机构及其从业人员的执业活动</w:t>
      </w:r>
      <w:r w:rsidRPr="006665B0">
        <w:rPr>
          <w:rFonts w:ascii="仿宋" w:eastAsia="仿宋" w:hAnsi="仿宋"/>
          <w:sz w:val="30"/>
          <w:szCs w:val="30"/>
        </w:rPr>
        <w:t>进行监督检查</w:t>
      </w:r>
      <w:r w:rsidRPr="006665B0">
        <w:rPr>
          <w:rFonts w:ascii="仿宋" w:eastAsia="仿宋" w:hAnsi="仿宋" w:hint="eastAsia"/>
          <w:sz w:val="30"/>
          <w:szCs w:val="30"/>
        </w:rPr>
        <w:t>；开展</w:t>
      </w:r>
      <w:r w:rsidRPr="006665B0">
        <w:rPr>
          <w:rFonts w:ascii="仿宋" w:eastAsia="仿宋" w:hAnsi="仿宋"/>
          <w:sz w:val="30"/>
          <w:szCs w:val="30"/>
        </w:rPr>
        <w:t>打击非法行医</w:t>
      </w:r>
      <w:r w:rsidRPr="006665B0">
        <w:rPr>
          <w:rFonts w:ascii="仿宋" w:eastAsia="仿宋" w:hAnsi="仿宋" w:hint="eastAsia"/>
          <w:sz w:val="30"/>
          <w:szCs w:val="30"/>
        </w:rPr>
        <w:t>和</w:t>
      </w:r>
      <w:r w:rsidRPr="006665B0">
        <w:rPr>
          <w:rFonts w:ascii="仿宋" w:eastAsia="仿宋" w:hAnsi="仿宋"/>
          <w:sz w:val="30"/>
          <w:szCs w:val="30"/>
        </w:rPr>
        <w:t>非法</w:t>
      </w:r>
      <w:r w:rsidRPr="006665B0">
        <w:rPr>
          <w:rFonts w:ascii="仿宋" w:eastAsia="仿宋" w:hAnsi="仿宋" w:hint="eastAsia"/>
          <w:sz w:val="30"/>
          <w:szCs w:val="30"/>
        </w:rPr>
        <w:t>供血工作；负责对母婴保健机构、计划生育技术服务机构服务内容和从业人员的行为规范进行监督，依法打击“两非”行为；负责做好计划生育社会抚养费征收及违法违纪案件的查处等卫生计生违法行为的投诉、举报工作。现有在编人数25人，公务用车</w:t>
      </w:r>
      <w:r w:rsidRPr="006665B0">
        <w:rPr>
          <w:rFonts w:ascii="仿宋" w:eastAsia="仿宋" w:hAnsi="仿宋"/>
          <w:sz w:val="30"/>
          <w:szCs w:val="30"/>
        </w:rPr>
        <w:t>1</w:t>
      </w:r>
      <w:r w:rsidRPr="006665B0">
        <w:rPr>
          <w:rFonts w:ascii="仿宋" w:eastAsia="仿宋" w:hAnsi="仿宋" w:hint="eastAsia"/>
          <w:sz w:val="30"/>
          <w:szCs w:val="30"/>
        </w:rPr>
        <w:t>台，设有办公室、稽查信息股、医疗与传染病防治监督股、公共场所监督股、计划生育监督执法股。</w:t>
      </w:r>
    </w:p>
    <w:p w:rsidR="00A566A4" w:rsidRPr="006665B0" w:rsidRDefault="00A566A4" w:rsidP="00D5159D">
      <w:pPr>
        <w:ind w:firstLineChars="100" w:firstLine="321"/>
        <w:rPr>
          <w:rFonts w:ascii="仿宋" w:eastAsia="仿宋" w:hAnsi="仿宋"/>
          <w:b/>
          <w:sz w:val="32"/>
          <w:szCs w:val="32"/>
        </w:rPr>
      </w:pPr>
      <w:r w:rsidRPr="006665B0">
        <w:rPr>
          <w:rFonts w:ascii="仿宋" w:eastAsia="仿宋" w:hAnsi="仿宋" w:hint="eastAsia"/>
          <w:b/>
          <w:sz w:val="32"/>
          <w:szCs w:val="32"/>
        </w:rPr>
        <w:t>（二）人员构成情况</w:t>
      </w:r>
    </w:p>
    <w:p w:rsidR="00A566A4" w:rsidRPr="006665B0" w:rsidRDefault="00A536B6" w:rsidP="00D5159D">
      <w:pPr>
        <w:ind w:firstLineChars="150" w:firstLine="450"/>
        <w:rPr>
          <w:rFonts w:ascii="仿宋" w:eastAsia="仿宋" w:hAnsi="仿宋"/>
          <w:sz w:val="30"/>
          <w:szCs w:val="30"/>
        </w:rPr>
      </w:pPr>
      <w:r w:rsidRPr="006665B0">
        <w:rPr>
          <w:rFonts w:ascii="仿宋" w:eastAsia="仿宋" w:hAnsi="仿宋"/>
          <w:sz w:val="30"/>
          <w:szCs w:val="30"/>
        </w:rPr>
        <w:t>实有在编人数</w:t>
      </w:r>
      <w:r w:rsidR="00E12D42" w:rsidRPr="006665B0">
        <w:rPr>
          <w:rFonts w:ascii="仿宋" w:eastAsia="仿宋" w:hAnsi="仿宋" w:hint="eastAsia"/>
          <w:sz w:val="30"/>
          <w:szCs w:val="30"/>
        </w:rPr>
        <w:t>25</w:t>
      </w:r>
      <w:r w:rsidRPr="006665B0">
        <w:rPr>
          <w:rFonts w:ascii="仿宋" w:eastAsia="仿宋" w:hAnsi="仿宋"/>
          <w:sz w:val="30"/>
          <w:szCs w:val="30"/>
        </w:rPr>
        <w:t>人，公务用车1台</w:t>
      </w:r>
      <w:r w:rsidRPr="006665B0">
        <w:rPr>
          <w:rFonts w:ascii="仿宋" w:eastAsia="仿宋" w:hAnsi="仿宋" w:hint="eastAsia"/>
          <w:sz w:val="30"/>
          <w:szCs w:val="30"/>
        </w:rPr>
        <w:t>。</w:t>
      </w:r>
    </w:p>
    <w:p w:rsidR="00E12D42" w:rsidRPr="006665B0" w:rsidRDefault="00A566A4" w:rsidP="00D5159D">
      <w:pPr>
        <w:ind w:firstLineChars="100" w:firstLine="321"/>
        <w:rPr>
          <w:rFonts w:ascii="仿宋" w:eastAsia="仿宋" w:hAnsi="仿宋"/>
          <w:b/>
          <w:sz w:val="32"/>
          <w:szCs w:val="32"/>
        </w:rPr>
      </w:pPr>
      <w:r w:rsidRPr="006665B0">
        <w:rPr>
          <w:rFonts w:ascii="仿宋" w:eastAsia="仿宋" w:hAnsi="仿宋" w:hint="eastAsia"/>
          <w:b/>
          <w:sz w:val="32"/>
          <w:szCs w:val="32"/>
        </w:rPr>
        <w:t>（三）完成的主要工作</w:t>
      </w:r>
    </w:p>
    <w:p w:rsidR="00E12D42" w:rsidRPr="006665B0" w:rsidRDefault="00E12D42" w:rsidP="00E12D42">
      <w:pPr>
        <w:ind w:firstLineChars="150" w:firstLine="482"/>
        <w:rPr>
          <w:rFonts w:ascii="仿宋" w:eastAsia="仿宋" w:hAnsi="仿宋"/>
          <w:sz w:val="32"/>
          <w:szCs w:val="32"/>
        </w:rPr>
      </w:pPr>
      <w:r w:rsidRPr="006665B0">
        <w:rPr>
          <w:rFonts w:ascii="仿宋" w:eastAsia="仿宋" w:hAnsi="仿宋" w:cs="仿宋_GB2312" w:hint="eastAsia"/>
          <w:b/>
          <w:bCs/>
          <w:sz w:val="32"/>
          <w:szCs w:val="32"/>
        </w:rPr>
        <w:t>1、加强宣传力度，大力营造创国卫氛围。</w:t>
      </w:r>
      <w:r w:rsidRPr="006665B0">
        <w:rPr>
          <w:rFonts w:ascii="仿宋" w:eastAsia="仿宋" w:hAnsi="仿宋" w:cs="仿宋_GB2312" w:hint="eastAsia"/>
          <w:color w:val="000000"/>
          <w:sz w:val="32"/>
          <w:szCs w:val="32"/>
          <w:lang w:val="zh-CN"/>
        </w:rPr>
        <w:t>一是对照创卫细则，成立了10个工作小组，分区域分路段进店入户，一对一督促，手把手指导，做到 “责任到组、分片到组、分店到人，”确保了每个人都有明确的责任区域、具体的工作任务、详细的工作进展计划。二是利用多种渠道，广泛宣传发动。为了明确各类公共场所怎样进行配合创建，让各业主知晓该如何创卫，我局向全县各公共场所业主</w:t>
      </w:r>
      <w:r w:rsidRPr="006665B0">
        <w:rPr>
          <w:rFonts w:ascii="仿宋" w:eastAsia="仿宋" w:hAnsi="仿宋" w:hint="eastAsia"/>
          <w:sz w:val="32"/>
          <w:szCs w:val="32"/>
        </w:rPr>
        <w:t>累计印发创卫</w:t>
      </w:r>
      <w:r w:rsidRPr="006665B0">
        <w:rPr>
          <w:rFonts w:ascii="仿宋" w:eastAsia="仿宋" w:hAnsi="仿宋" w:hint="eastAsia"/>
          <w:sz w:val="32"/>
          <w:szCs w:val="32"/>
        </w:rPr>
        <w:lastRenderedPageBreak/>
        <w:t>各类宣传资料共25000余份、卫生知识培训材料2300余本、卫生常识小册11000本、卫生监督简报47期、《致全县公共场所经营业主的信》10000余份、《再致全县公共场所经营业主的信》4500余份、电视新闻宣传报导15次。通过宣传发动，全面提高了公共场所经营单位卫生意识。</w:t>
      </w:r>
    </w:p>
    <w:p w:rsidR="00E12D42" w:rsidRPr="006665B0" w:rsidRDefault="00E12D42" w:rsidP="00E12D42">
      <w:pPr>
        <w:ind w:firstLineChars="150" w:firstLine="482"/>
        <w:rPr>
          <w:rFonts w:ascii="仿宋" w:eastAsia="仿宋" w:hAnsi="仿宋"/>
          <w:sz w:val="32"/>
          <w:szCs w:val="32"/>
        </w:rPr>
      </w:pPr>
      <w:r w:rsidRPr="006665B0">
        <w:rPr>
          <w:rFonts w:ascii="仿宋" w:eastAsia="仿宋" w:hAnsi="仿宋" w:hint="eastAsia"/>
          <w:b/>
          <w:sz w:val="32"/>
          <w:szCs w:val="32"/>
        </w:rPr>
        <w:t>2、强化教育培训，提高从业人员创卫能力。</w:t>
      </w:r>
      <w:r w:rsidRPr="006665B0">
        <w:rPr>
          <w:rFonts w:ascii="仿宋" w:eastAsia="仿宋" w:hAnsi="仿宋" w:hint="eastAsia"/>
          <w:sz w:val="32"/>
          <w:szCs w:val="32"/>
        </w:rPr>
        <w:t>为贯彻执行《公共场所卫生管理条例实施细则》、《艾滋病防治条例》等法律法规，强化管理相对人依法经营理念，共举办公共场所卫生管理人员培训会议10期，培训经营单位卫生管理人员和网格化管理人员共1442人次。其中，举办网吧管理人员培训会议2期共109人次、旅馆（店）管理人员培训会议1期共115人次、其他公共场所管理人员培训会议6期共1145人次、社区网格化责任人培训会议1期共91人次。使经营管理者以及从业人员对卫生法律、法规、标准、规范和卫生管理等有了较全面的了解，对提高经营者的懂法、守法、学法意识，加强经营单位自律管理和规范经营起到极大的促进作用。</w:t>
      </w:r>
    </w:p>
    <w:p w:rsidR="00E12D42" w:rsidRPr="00D5159D" w:rsidRDefault="006665B0" w:rsidP="00D5159D">
      <w:pPr>
        <w:pStyle w:val="a8"/>
        <w:shd w:val="clear" w:color="auto" w:fill="FFFFFF"/>
        <w:wordWrap w:val="0"/>
        <w:spacing w:line="378" w:lineRule="atLeast"/>
        <w:ind w:firstLineChars="200" w:firstLine="643"/>
        <w:rPr>
          <w:rFonts w:ascii="仿宋" w:eastAsia="仿宋" w:hAnsi="仿宋"/>
          <w:b/>
          <w:color w:val="333333"/>
          <w:sz w:val="32"/>
          <w:szCs w:val="32"/>
        </w:rPr>
      </w:pPr>
      <w:r w:rsidRPr="006665B0">
        <w:rPr>
          <w:rFonts w:ascii="仿宋" w:eastAsia="仿宋" w:hAnsi="仿宋" w:hint="eastAsia"/>
          <w:b/>
          <w:color w:val="333333"/>
          <w:sz w:val="32"/>
          <w:szCs w:val="32"/>
        </w:rPr>
        <w:t>3</w:t>
      </w:r>
      <w:r w:rsidR="00E12D42" w:rsidRPr="006665B0">
        <w:rPr>
          <w:rFonts w:ascii="仿宋" w:eastAsia="仿宋" w:hAnsi="仿宋" w:hint="eastAsia"/>
          <w:b/>
          <w:color w:val="333333"/>
          <w:sz w:val="32"/>
          <w:szCs w:val="32"/>
        </w:rPr>
        <w:t>、</w:t>
      </w:r>
      <w:r w:rsidRPr="006665B0">
        <w:rPr>
          <w:rFonts w:ascii="仿宋" w:eastAsia="仿宋" w:hAnsi="仿宋" w:hint="eastAsia"/>
          <w:b/>
          <w:color w:val="333333"/>
          <w:sz w:val="32"/>
          <w:szCs w:val="32"/>
        </w:rPr>
        <w:t>加强</w:t>
      </w:r>
      <w:r w:rsidR="00E12D42" w:rsidRPr="006665B0">
        <w:rPr>
          <w:rFonts w:ascii="仿宋" w:eastAsia="仿宋" w:hAnsi="仿宋" w:hint="eastAsia"/>
          <w:b/>
          <w:color w:val="333333"/>
          <w:sz w:val="32"/>
          <w:szCs w:val="32"/>
        </w:rPr>
        <w:t>医疗执业监督</w:t>
      </w:r>
      <w:r w:rsidRPr="006665B0">
        <w:rPr>
          <w:rFonts w:ascii="仿宋" w:eastAsia="仿宋" w:hAnsi="仿宋" w:hint="eastAsia"/>
          <w:b/>
          <w:color w:val="333333"/>
          <w:sz w:val="32"/>
          <w:szCs w:val="32"/>
        </w:rPr>
        <w:t>，保障人民群众就医环境。</w:t>
      </w:r>
      <w:r w:rsidR="00E12D42" w:rsidRPr="006665B0">
        <w:rPr>
          <w:rFonts w:ascii="仿宋" w:eastAsia="仿宋" w:hAnsi="仿宋" w:hint="eastAsia"/>
          <w:color w:val="000000"/>
          <w:sz w:val="32"/>
          <w:szCs w:val="32"/>
          <w:shd w:val="solid" w:color="FFFFFF" w:fill="FFFFFF"/>
        </w:rPr>
        <w:t>全县共有医疗机构458家；其中：县级医疗机构5家；民营医疗机构10家；个体诊所46家；乡镇卫生院17家；村卫生室351家。共监督109家，监督覆盖率23.8%；投诉举报案件3件，均立案查处；行政处罚案件12件，移送涉嫌非法行医刑事案件3件。</w:t>
      </w:r>
      <w:r w:rsidR="00E12D42" w:rsidRPr="006665B0">
        <w:rPr>
          <w:rFonts w:ascii="仿宋" w:eastAsia="仿宋" w:hAnsi="仿宋" w:hint="eastAsia"/>
          <w:color w:val="333333"/>
          <w:sz w:val="32"/>
          <w:szCs w:val="32"/>
        </w:rPr>
        <w:t xml:space="preserve">　2016年我局根据上级文件精神，对本县行政区域内的医疗机构进行了常规监督检查，不断规范各</w:t>
      </w:r>
      <w:r w:rsidR="00E12D42" w:rsidRPr="006665B0">
        <w:rPr>
          <w:rFonts w:ascii="仿宋" w:eastAsia="仿宋" w:hAnsi="仿宋" w:hint="eastAsia"/>
          <w:color w:val="333333"/>
          <w:sz w:val="32"/>
          <w:szCs w:val="32"/>
        </w:rPr>
        <w:lastRenderedPageBreak/>
        <w:t>级医疗机构的各项工作。开展打击非法行医专项行动和非法采供血工作，</w:t>
      </w:r>
      <w:r w:rsidR="00E12D42" w:rsidRPr="006665B0">
        <w:rPr>
          <w:rFonts w:ascii="仿宋" w:eastAsia="仿宋" w:hAnsi="仿宋" w:hint="eastAsia"/>
          <w:color w:val="000000"/>
          <w:sz w:val="32"/>
          <w:szCs w:val="32"/>
          <w:shd w:val="solid" w:color="FFFFFF" w:fill="FFFFFF"/>
        </w:rPr>
        <w:t>全县共出动监督员261人次，车辆108台次，对全县各级各类医院109家进行了依法执业专项监督检查。</w:t>
      </w:r>
      <w:r w:rsidR="00E12D42" w:rsidRPr="006665B0">
        <w:rPr>
          <w:rFonts w:ascii="仿宋" w:eastAsia="仿宋" w:hAnsi="仿宋" w:hint="eastAsia"/>
          <w:color w:val="333333"/>
          <w:sz w:val="32"/>
          <w:szCs w:val="32"/>
        </w:rPr>
        <w:t>不但震慑了违法分子，人民群众的就医环境也不断得到改善。</w:t>
      </w:r>
    </w:p>
    <w:p w:rsidR="00A566A4" w:rsidRPr="006665B0" w:rsidRDefault="00A566A4" w:rsidP="006665B0">
      <w:pPr>
        <w:ind w:firstLineChars="200" w:firstLine="643"/>
        <w:rPr>
          <w:rFonts w:ascii="黑体" w:eastAsia="黑体" w:hAnsi="黑体"/>
          <w:b/>
          <w:sz w:val="32"/>
          <w:szCs w:val="32"/>
        </w:rPr>
      </w:pPr>
      <w:r w:rsidRPr="006665B0">
        <w:rPr>
          <w:rFonts w:ascii="黑体" w:eastAsia="黑体" w:hAnsi="黑体" w:hint="eastAsia"/>
          <w:b/>
          <w:sz w:val="32"/>
          <w:szCs w:val="32"/>
        </w:rPr>
        <w:t>二、收入决算说明</w:t>
      </w:r>
    </w:p>
    <w:p w:rsidR="00F5401C" w:rsidRPr="006665B0" w:rsidRDefault="00A566A4" w:rsidP="00F5401C">
      <w:pPr>
        <w:ind w:firstLine="645"/>
        <w:rPr>
          <w:rFonts w:ascii="仿宋" w:eastAsia="仿宋" w:hAnsi="仿宋"/>
          <w:sz w:val="32"/>
          <w:szCs w:val="32"/>
        </w:rPr>
      </w:pPr>
      <w:r w:rsidRPr="006665B0">
        <w:rPr>
          <w:rFonts w:ascii="仿宋" w:eastAsia="仿宋" w:hAnsi="仿宋" w:hint="eastAsia"/>
          <w:sz w:val="32"/>
          <w:szCs w:val="32"/>
        </w:rPr>
        <w:t>201</w:t>
      </w:r>
      <w:r w:rsidR="007A7F37">
        <w:rPr>
          <w:rFonts w:ascii="仿宋" w:eastAsia="仿宋" w:hAnsi="仿宋" w:hint="eastAsia"/>
          <w:sz w:val="32"/>
          <w:szCs w:val="32"/>
        </w:rPr>
        <w:t>6</w:t>
      </w:r>
      <w:r w:rsidRPr="006665B0">
        <w:rPr>
          <w:rFonts w:ascii="仿宋" w:eastAsia="仿宋" w:hAnsi="仿宋" w:hint="eastAsia"/>
          <w:sz w:val="32"/>
          <w:szCs w:val="32"/>
        </w:rPr>
        <w:t>年收入决算</w:t>
      </w:r>
      <w:r w:rsidR="007A7F37">
        <w:rPr>
          <w:rFonts w:ascii="仿宋" w:eastAsia="仿宋" w:hAnsi="仿宋" w:hint="eastAsia"/>
          <w:sz w:val="32"/>
          <w:szCs w:val="32"/>
        </w:rPr>
        <w:t>171</w:t>
      </w:r>
      <w:r w:rsidRPr="006665B0">
        <w:rPr>
          <w:rFonts w:ascii="仿宋" w:eastAsia="仿宋" w:hAnsi="仿宋" w:hint="eastAsia"/>
          <w:sz w:val="32"/>
          <w:szCs w:val="32"/>
        </w:rPr>
        <w:t>万元。其中：当年财政拨款收入</w:t>
      </w:r>
      <w:r w:rsidR="007A7F37">
        <w:rPr>
          <w:rFonts w:ascii="仿宋" w:eastAsia="仿宋" w:hAnsi="仿宋" w:hint="eastAsia"/>
          <w:sz w:val="32"/>
          <w:szCs w:val="32"/>
        </w:rPr>
        <w:t>149万元，</w:t>
      </w:r>
    </w:p>
    <w:p w:rsidR="00A566A4" w:rsidRPr="006665B0" w:rsidRDefault="00F5401C" w:rsidP="00A77027">
      <w:pPr>
        <w:rPr>
          <w:rFonts w:ascii="仿宋" w:eastAsia="仿宋" w:hAnsi="仿宋"/>
          <w:sz w:val="32"/>
          <w:szCs w:val="32"/>
        </w:rPr>
      </w:pPr>
      <w:r w:rsidRPr="006665B0">
        <w:rPr>
          <w:rFonts w:ascii="仿宋" w:eastAsia="仿宋" w:hAnsi="仿宋" w:hint="eastAsia"/>
          <w:sz w:val="32"/>
          <w:szCs w:val="32"/>
        </w:rPr>
        <w:t>纳入</w:t>
      </w:r>
      <w:r w:rsidR="005E52D4" w:rsidRPr="006665B0">
        <w:rPr>
          <w:rFonts w:ascii="仿宋" w:eastAsia="仿宋" w:hAnsi="仿宋" w:hint="eastAsia"/>
          <w:sz w:val="32"/>
          <w:szCs w:val="32"/>
        </w:rPr>
        <w:t>预算管理的非税收入</w:t>
      </w:r>
      <w:r w:rsidR="007A7F37">
        <w:rPr>
          <w:rFonts w:ascii="仿宋" w:eastAsia="仿宋" w:hAnsi="仿宋" w:hint="eastAsia"/>
          <w:sz w:val="32"/>
          <w:szCs w:val="32"/>
        </w:rPr>
        <w:t>22</w:t>
      </w:r>
      <w:r w:rsidR="00A77027" w:rsidRPr="006665B0">
        <w:rPr>
          <w:rFonts w:ascii="仿宋" w:eastAsia="仿宋" w:hAnsi="仿宋" w:hint="eastAsia"/>
          <w:sz w:val="32"/>
          <w:szCs w:val="32"/>
        </w:rPr>
        <w:t>万元。</w:t>
      </w:r>
    </w:p>
    <w:p w:rsidR="00A566A4" w:rsidRPr="006665B0" w:rsidRDefault="00A566A4" w:rsidP="006665B0">
      <w:pPr>
        <w:ind w:firstLineChars="196" w:firstLine="630"/>
        <w:rPr>
          <w:rFonts w:ascii="黑体" w:eastAsia="黑体" w:hAnsi="黑体"/>
          <w:b/>
          <w:sz w:val="32"/>
          <w:szCs w:val="32"/>
        </w:rPr>
      </w:pPr>
      <w:r w:rsidRPr="006665B0">
        <w:rPr>
          <w:rFonts w:ascii="黑体" w:eastAsia="黑体" w:hAnsi="黑体" w:hint="eastAsia"/>
          <w:b/>
          <w:sz w:val="32"/>
          <w:szCs w:val="32"/>
        </w:rPr>
        <w:t>三、支出决算说明</w:t>
      </w:r>
    </w:p>
    <w:p w:rsidR="00A566A4" w:rsidRPr="006665B0" w:rsidRDefault="00A566A4" w:rsidP="00046280">
      <w:pPr>
        <w:ind w:leftChars="76" w:left="160" w:firstLineChars="155" w:firstLine="496"/>
        <w:rPr>
          <w:rFonts w:ascii="仿宋" w:eastAsia="仿宋" w:hAnsi="仿宋"/>
          <w:sz w:val="32"/>
          <w:szCs w:val="32"/>
        </w:rPr>
      </w:pPr>
      <w:r w:rsidRPr="006665B0">
        <w:rPr>
          <w:rFonts w:ascii="仿宋" w:eastAsia="仿宋" w:hAnsi="仿宋" w:hint="eastAsia"/>
          <w:sz w:val="32"/>
          <w:szCs w:val="32"/>
        </w:rPr>
        <w:t>201</w:t>
      </w:r>
      <w:r w:rsidR="007A7F37">
        <w:rPr>
          <w:rFonts w:ascii="仿宋" w:eastAsia="仿宋" w:hAnsi="仿宋" w:hint="eastAsia"/>
          <w:sz w:val="32"/>
          <w:szCs w:val="32"/>
        </w:rPr>
        <w:t>6</w:t>
      </w:r>
      <w:r w:rsidRPr="006665B0">
        <w:rPr>
          <w:rFonts w:ascii="仿宋" w:eastAsia="仿宋" w:hAnsi="仿宋" w:hint="eastAsia"/>
          <w:sz w:val="32"/>
          <w:szCs w:val="32"/>
        </w:rPr>
        <w:t>年支出决算</w:t>
      </w:r>
      <w:r w:rsidR="007A7F37">
        <w:rPr>
          <w:rFonts w:ascii="仿宋" w:eastAsia="仿宋" w:hAnsi="仿宋" w:hint="eastAsia"/>
          <w:sz w:val="32"/>
          <w:szCs w:val="32"/>
        </w:rPr>
        <w:t>171</w:t>
      </w:r>
      <w:r w:rsidRPr="006665B0">
        <w:rPr>
          <w:rFonts w:ascii="仿宋" w:eastAsia="仿宋" w:hAnsi="仿宋" w:hint="eastAsia"/>
          <w:sz w:val="32"/>
          <w:szCs w:val="32"/>
        </w:rPr>
        <w:t>万元，财政拨款支出</w:t>
      </w:r>
      <w:r w:rsidR="007A7F37">
        <w:rPr>
          <w:rFonts w:ascii="仿宋" w:eastAsia="仿宋" w:hAnsi="仿宋" w:hint="eastAsia"/>
          <w:sz w:val="32"/>
          <w:szCs w:val="32"/>
        </w:rPr>
        <w:t>149</w:t>
      </w:r>
      <w:r w:rsidRPr="006665B0">
        <w:rPr>
          <w:rFonts w:ascii="仿宋" w:eastAsia="仿宋" w:hAnsi="仿宋" w:hint="eastAsia"/>
          <w:sz w:val="32"/>
          <w:szCs w:val="32"/>
        </w:rPr>
        <w:t>万元。其中：工资福利支出</w:t>
      </w:r>
      <w:r w:rsidR="007A7F37">
        <w:rPr>
          <w:rFonts w:ascii="仿宋" w:eastAsia="仿宋" w:hAnsi="仿宋" w:hint="eastAsia"/>
          <w:sz w:val="32"/>
          <w:szCs w:val="32"/>
        </w:rPr>
        <w:t>118</w:t>
      </w:r>
      <w:r w:rsidR="00A77027" w:rsidRPr="006665B0">
        <w:rPr>
          <w:rFonts w:ascii="仿宋" w:eastAsia="仿宋" w:hAnsi="仿宋" w:hint="eastAsia"/>
          <w:sz w:val="32"/>
          <w:szCs w:val="32"/>
        </w:rPr>
        <w:t>万元</w:t>
      </w:r>
      <w:r w:rsidRPr="006665B0">
        <w:rPr>
          <w:rFonts w:ascii="仿宋" w:eastAsia="仿宋" w:hAnsi="仿宋" w:hint="eastAsia"/>
          <w:sz w:val="32"/>
          <w:szCs w:val="32"/>
        </w:rPr>
        <w:t>，商品和服务支出</w:t>
      </w:r>
      <w:r w:rsidR="00046280">
        <w:rPr>
          <w:rFonts w:ascii="仿宋" w:eastAsia="仿宋" w:hAnsi="仿宋" w:hint="eastAsia"/>
          <w:sz w:val="32"/>
          <w:szCs w:val="32"/>
        </w:rPr>
        <w:t>53</w:t>
      </w:r>
      <w:r w:rsidRPr="006665B0">
        <w:rPr>
          <w:rFonts w:ascii="仿宋" w:eastAsia="仿宋" w:hAnsi="仿宋" w:hint="eastAsia"/>
          <w:sz w:val="32"/>
          <w:szCs w:val="32"/>
        </w:rPr>
        <w:t>万元</w:t>
      </w:r>
      <w:r w:rsidR="00A77027" w:rsidRPr="006665B0">
        <w:rPr>
          <w:rFonts w:ascii="仿宋" w:eastAsia="仿宋" w:hAnsi="仿宋" w:hint="eastAsia"/>
          <w:sz w:val="32"/>
          <w:szCs w:val="32"/>
        </w:rPr>
        <w:t>,主要用</w:t>
      </w:r>
      <w:r w:rsidRPr="006665B0">
        <w:rPr>
          <w:rFonts w:ascii="仿宋" w:eastAsia="仿宋" w:hAnsi="仿宋" w:hint="eastAsia"/>
          <w:sz w:val="32"/>
          <w:szCs w:val="32"/>
        </w:rPr>
        <w:t>于</w:t>
      </w:r>
      <w:r w:rsidR="005B681F" w:rsidRPr="006665B0">
        <w:rPr>
          <w:rFonts w:ascii="仿宋" w:eastAsia="仿宋" w:hAnsi="仿宋" w:hint="eastAsia"/>
          <w:sz w:val="32"/>
          <w:szCs w:val="32"/>
        </w:rPr>
        <w:t>公共场所、生活饮用水、学校卫生及医疗机构卫生等日常监督监测。</w:t>
      </w:r>
      <w:r w:rsidR="00046280">
        <w:rPr>
          <w:rFonts w:ascii="仿宋" w:eastAsia="仿宋" w:hAnsi="仿宋" w:hint="eastAsia"/>
          <w:sz w:val="32"/>
          <w:szCs w:val="32"/>
        </w:rPr>
        <w:t>总支出比上年增加75万元，原因是创国卫支出增加和单位合并人员增加。</w:t>
      </w:r>
    </w:p>
    <w:p w:rsidR="00A566A4" w:rsidRPr="006665B0" w:rsidRDefault="00A566A4" w:rsidP="006665B0">
      <w:pPr>
        <w:ind w:leftChars="76" w:left="160" w:firstLineChars="155" w:firstLine="498"/>
        <w:rPr>
          <w:rFonts w:ascii="黑体" w:eastAsia="黑体" w:hAnsi="黑体"/>
          <w:b/>
          <w:sz w:val="32"/>
          <w:szCs w:val="32"/>
        </w:rPr>
      </w:pPr>
      <w:r w:rsidRPr="006665B0">
        <w:rPr>
          <w:rFonts w:ascii="黑体" w:eastAsia="黑体" w:hAnsi="黑体" w:hint="eastAsia"/>
          <w:b/>
          <w:sz w:val="32"/>
          <w:szCs w:val="32"/>
        </w:rPr>
        <w:t>四、“三公经费”支出说明</w:t>
      </w:r>
    </w:p>
    <w:p w:rsidR="00A566A4" w:rsidRPr="006665B0" w:rsidRDefault="00A566A4">
      <w:pPr>
        <w:ind w:firstLineChars="200" w:firstLine="640"/>
        <w:rPr>
          <w:rFonts w:ascii="仿宋" w:eastAsia="仿宋" w:hAnsi="仿宋"/>
          <w:sz w:val="32"/>
          <w:szCs w:val="32"/>
        </w:rPr>
      </w:pPr>
      <w:r w:rsidRPr="006665B0">
        <w:rPr>
          <w:rFonts w:ascii="仿宋" w:eastAsia="仿宋" w:hAnsi="仿宋" w:hint="eastAsia"/>
          <w:sz w:val="32"/>
          <w:szCs w:val="32"/>
        </w:rPr>
        <w:t>201</w:t>
      </w:r>
      <w:r w:rsidR="007A7F37">
        <w:rPr>
          <w:rFonts w:ascii="仿宋" w:eastAsia="仿宋" w:hAnsi="仿宋" w:hint="eastAsia"/>
          <w:sz w:val="32"/>
          <w:szCs w:val="32"/>
        </w:rPr>
        <w:t>6</w:t>
      </w:r>
      <w:r w:rsidRPr="006665B0">
        <w:rPr>
          <w:rFonts w:ascii="仿宋" w:eastAsia="仿宋" w:hAnsi="仿宋" w:hint="eastAsia"/>
          <w:sz w:val="32"/>
          <w:szCs w:val="32"/>
        </w:rPr>
        <w:t>年“三公经费”财政拨款支出共</w:t>
      </w:r>
      <w:r w:rsidR="007A7F37">
        <w:rPr>
          <w:rFonts w:ascii="仿宋" w:eastAsia="仿宋" w:hAnsi="仿宋" w:hint="eastAsia"/>
          <w:sz w:val="32"/>
          <w:szCs w:val="32"/>
        </w:rPr>
        <w:t>5.39</w:t>
      </w:r>
      <w:r w:rsidRPr="006665B0">
        <w:rPr>
          <w:rFonts w:ascii="仿宋" w:eastAsia="仿宋" w:hAnsi="仿宋" w:hint="eastAsia"/>
          <w:sz w:val="32"/>
          <w:szCs w:val="32"/>
        </w:rPr>
        <w:t>万元，具体情况如下：</w:t>
      </w:r>
    </w:p>
    <w:p w:rsidR="00A566A4" w:rsidRPr="006665B0" w:rsidRDefault="00A566A4">
      <w:pPr>
        <w:ind w:firstLineChars="200" w:firstLine="640"/>
        <w:rPr>
          <w:rFonts w:ascii="仿宋" w:eastAsia="仿宋" w:hAnsi="仿宋"/>
          <w:sz w:val="32"/>
          <w:szCs w:val="32"/>
        </w:rPr>
      </w:pPr>
      <w:r w:rsidRPr="006665B0">
        <w:rPr>
          <w:rFonts w:ascii="仿宋" w:eastAsia="仿宋" w:hAnsi="仿宋" w:hint="eastAsia"/>
          <w:sz w:val="32"/>
          <w:szCs w:val="32"/>
        </w:rPr>
        <w:t>1.</w:t>
      </w:r>
      <w:r w:rsidRPr="006665B0">
        <w:rPr>
          <w:rFonts w:ascii="仿宋" w:eastAsia="仿宋" w:hAnsi="仿宋" w:hint="eastAsia"/>
        </w:rPr>
        <w:t xml:space="preserve"> </w:t>
      </w:r>
      <w:r w:rsidRPr="006665B0">
        <w:rPr>
          <w:rFonts w:ascii="仿宋" w:eastAsia="仿宋" w:hAnsi="仿宋" w:hint="eastAsia"/>
          <w:sz w:val="32"/>
          <w:szCs w:val="32"/>
        </w:rPr>
        <w:t>因公出国（境）费</w:t>
      </w:r>
      <w:r w:rsidR="007618C1" w:rsidRPr="006665B0">
        <w:rPr>
          <w:rFonts w:ascii="仿宋" w:eastAsia="仿宋" w:hAnsi="仿宋" w:hint="eastAsia"/>
          <w:sz w:val="32"/>
          <w:szCs w:val="32"/>
        </w:rPr>
        <w:t>无支出</w:t>
      </w:r>
      <w:r w:rsidRPr="006665B0">
        <w:rPr>
          <w:rFonts w:ascii="仿宋" w:eastAsia="仿宋" w:hAnsi="仿宋" w:hint="eastAsia"/>
          <w:sz w:val="32"/>
          <w:szCs w:val="32"/>
        </w:rPr>
        <w:t>；</w:t>
      </w:r>
    </w:p>
    <w:p w:rsidR="007618C1" w:rsidRPr="006665B0" w:rsidRDefault="00A566A4" w:rsidP="00266BF3">
      <w:pPr>
        <w:ind w:leftChars="228" w:left="479" w:firstLineChars="50" w:firstLine="160"/>
        <w:rPr>
          <w:rFonts w:ascii="仿宋" w:eastAsia="仿宋" w:hAnsi="仿宋"/>
          <w:sz w:val="32"/>
          <w:szCs w:val="32"/>
        </w:rPr>
      </w:pPr>
      <w:r w:rsidRPr="006665B0">
        <w:rPr>
          <w:rFonts w:ascii="仿宋" w:eastAsia="仿宋" w:hAnsi="仿宋" w:hint="eastAsia"/>
          <w:sz w:val="32"/>
          <w:szCs w:val="32"/>
        </w:rPr>
        <w:t>2.</w:t>
      </w:r>
      <w:r w:rsidRPr="006665B0">
        <w:rPr>
          <w:rFonts w:ascii="仿宋" w:eastAsia="仿宋" w:hAnsi="仿宋" w:hint="eastAsia"/>
        </w:rPr>
        <w:t xml:space="preserve"> </w:t>
      </w:r>
      <w:r w:rsidR="00D5054B" w:rsidRPr="006665B0">
        <w:rPr>
          <w:rFonts w:ascii="仿宋" w:eastAsia="仿宋" w:hAnsi="仿宋" w:hint="eastAsia"/>
          <w:sz w:val="32"/>
          <w:szCs w:val="32"/>
        </w:rPr>
        <w:t>公务用车购置</w:t>
      </w:r>
      <w:r w:rsidRPr="006665B0">
        <w:rPr>
          <w:rFonts w:ascii="仿宋" w:eastAsia="仿宋" w:hAnsi="仿宋" w:hint="eastAsia"/>
          <w:sz w:val="32"/>
          <w:szCs w:val="32"/>
        </w:rPr>
        <w:t>费</w:t>
      </w:r>
      <w:r w:rsidR="007618C1" w:rsidRPr="006665B0">
        <w:rPr>
          <w:rFonts w:ascii="仿宋" w:eastAsia="仿宋" w:hAnsi="仿宋" w:hint="eastAsia"/>
          <w:sz w:val="32"/>
          <w:szCs w:val="32"/>
        </w:rPr>
        <w:t>无</w:t>
      </w:r>
      <w:r w:rsidRPr="006665B0">
        <w:rPr>
          <w:rFonts w:ascii="仿宋" w:eastAsia="仿宋" w:hAnsi="仿宋" w:hint="eastAsia"/>
          <w:sz w:val="32"/>
          <w:szCs w:val="32"/>
        </w:rPr>
        <w:t>支出</w:t>
      </w:r>
      <w:r w:rsidR="007618C1" w:rsidRPr="006665B0">
        <w:rPr>
          <w:rFonts w:ascii="仿宋" w:eastAsia="仿宋" w:hAnsi="仿宋" w:hint="eastAsia"/>
          <w:sz w:val="32"/>
          <w:szCs w:val="32"/>
        </w:rPr>
        <w:t>;</w:t>
      </w:r>
    </w:p>
    <w:p w:rsidR="00A566A4" w:rsidRPr="006665B0" w:rsidRDefault="007618C1" w:rsidP="00266BF3">
      <w:pPr>
        <w:ind w:leftChars="228" w:left="479" w:firstLineChars="50" w:firstLine="160"/>
        <w:rPr>
          <w:rFonts w:ascii="仿宋" w:eastAsia="仿宋" w:hAnsi="仿宋"/>
          <w:sz w:val="32"/>
          <w:szCs w:val="32"/>
        </w:rPr>
      </w:pPr>
      <w:r w:rsidRPr="006665B0">
        <w:rPr>
          <w:rFonts w:ascii="仿宋" w:eastAsia="仿宋" w:hAnsi="仿宋" w:hint="eastAsia"/>
          <w:sz w:val="32"/>
          <w:szCs w:val="32"/>
        </w:rPr>
        <w:t>3.公务用车运行费支出</w:t>
      </w:r>
      <w:r w:rsidR="007A7F37">
        <w:rPr>
          <w:rFonts w:ascii="仿宋" w:eastAsia="仿宋" w:hAnsi="仿宋" w:hint="eastAsia"/>
          <w:sz w:val="32"/>
          <w:szCs w:val="32"/>
        </w:rPr>
        <w:t>:3.38</w:t>
      </w:r>
      <w:r w:rsidRPr="006665B0">
        <w:rPr>
          <w:rFonts w:ascii="仿宋" w:eastAsia="仿宋" w:hAnsi="仿宋" w:hint="eastAsia"/>
          <w:sz w:val="32"/>
          <w:szCs w:val="32"/>
        </w:rPr>
        <w:t>万元,主要用于车辆加油费及维修费</w:t>
      </w:r>
      <w:r w:rsidR="00046280">
        <w:rPr>
          <w:rFonts w:ascii="仿宋" w:eastAsia="仿宋" w:hAnsi="仿宋" w:hint="eastAsia"/>
          <w:sz w:val="32"/>
          <w:szCs w:val="32"/>
        </w:rPr>
        <w:t>，比上年增加0.16万元，原因是创国卫车辆开支增加；</w:t>
      </w:r>
    </w:p>
    <w:p w:rsidR="00A566A4" w:rsidRDefault="00046280" w:rsidP="00266BF3">
      <w:pPr>
        <w:ind w:leftChars="228" w:left="479" w:firstLineChars="50" w:firstLine="160"/>
        <w:rPr>
          <w:rFonts w:ascii="仿宋" w:eastAsia="仿宋" w:hAnsi="仿宋" w:hint="eastAsia"/>
          <w:sz w:val="32"/>
          <w:szCs w:val="32"/>
        </w:rPr>
      </w:pPr>
      <w:r>
        <w:rPr>
          <w:rFonts w:ascii="仿宋" w:eastAsia="仿宋" w:hAnsi="仿宋" w:hint="eastAsia"/>
          <w:sz w:val="32"/>
          <w:szCs w:val="32"/>
        </w:rPr>
        <w:t>4</w:t>
      </w:r>
      <w:r w:rsidR="00A566A4" w:rsidRPr="006665B0">
        <w:rPr>
          <w:rFonts w:ascii="仿宋" w:eastAsia="仿宋" w:hAnsi="仿宋" w:hint="eastAsia"/>
          <w:sz w:val="32"/>
          <w:szCs w:val="32"/>
        </w:rPr>
        <w:t>、公务接待费支出</w:t>
      </w:r>
      <w:r w:rsidR="007A7F37">
        <w:rPr>
          <w:rFonts w:ascii="仿宋" w:eastAsia="仿宋" w:hAnsi="仿宋" w:hint="eastAsia"/>
          <w:sz w:val="32"/>
          <w:szCs w:val="32"/>
        </w:rPr>
        <w:t>2.01</w:t>
      </w:r>
      <w:r w:rsidR="00A566A4" w:rsidRPr="006665B0">
        <w:rPr>
          <w:rFonts w:ascii="仿宋" w:eastAsia="仿宋" w:hAnsi="仿宋" w:hint="eastAsia"/>
          <w:sz w:val="32"/>
          <w:szCs w:val="32"/>
        </w:rPr>
        <w:t xml:space="preserve"> </w:t>
      </w:r>
      <w:r w:rsidR="007618C1" w:rsidRPr="006665B0">
        <w:rPr>
          <w:rFonts w:ascii="仿宋" w:eastAsia="仿宋" w:hAnsi="仿宋" w:hint="eastAsia"/>
          <w:sz w:val="32"/>
          <w:szCs w:val="32"/>
        </w:rPr>
        <w:t>万元，主要用全市各县（区）卫生监督所及相关部门学习考察</w:t>
      </w:r>
      <w:r>
        <w:rPr>
          <w:rFonts w:ascii="仿宋" w:eastAsia="仿宋" w:hAnsi="仿宋" w:hint="eastAsia"/>
          <w:sz w:val="32"/>
          <w:szCs w:val="32"/>
        </w:rPr>
        <w:t>，比上年增加0.26万元，原因是创国卫支出增加。</w:t>
      </w:r>
    </w:p>
    <w:p w:rsidR="00773A2E" w:rsidRPr="00514640" w:rsidRDefault="00773A2E" w:rsidP="00773A2E">
      <w:pPr>
        <w:ind w:leftChars="228" w:left="479" w:firstLineChars="50" w:firstLine="160"/>
        <w:rPr>
          <w:rFonts w:ascii="黑体" w:eastAsia="黑体" w:hAnsi="黑体" w:hint="eastAsia"/>
          <w:sz w:val="32"/>
          <w:szCs w:val="32"/>
        </w:rPr>
      </w:pPr>
      <w:r w:rsidRPr="00514640">
        <w:rPr>
          <w:rFonts w:ascii="黑体" w:eastAsia="黑体" w:hAnsi="黑体" w:hint="eastAsia"/>
          <w:sz w:val="32"/>
          <w:szCs w:val="32"/>
        </w:rPr>
        <w:lastRenderedPageBreak/>
        <w:t>五、机关运行经费支出说明</w:t>
      </w:r>
    </w:p>
    <w:p w:rsidR="00773A2E" w:rsidRPr="00773A2E" w:rsidRDefault="00773A2E" w:rsidP="00773A2E">
      <w:pPr>
        <w:ind w:leftChars="228" w:left="479" w:firstLineChars="50" w:firstLine="160"/>
        <w:rPr>
          <w:rFonts w:ascii="仿宋" w:eastAsia="仿宋" w:hAnsi="仿宋" w:hint="eastAsia"/>
          <w:sz w:val="32"/>
          <w:szCs w:val="32"/>
        </w:rPr>
      </w:pPr>
      <w:r w:rsidRPr="00773A2E">
        <w:rPr>
          <w:rFonts w:ascii="仿宋" w:eastAsia="仿宋" w:hAnsi="仿宋" w:hint="eastAsia"/>
          <w:sz w:val="32"/>
          <w:szCs w:val="32"/>
        </w:rPr>
        <w:t>2016年机关运行经费支出</w:t>
      </w:r>
      <w:r>
        <w:rPr>
          <w:rFonts w:ascii="仿宋" w:eastAsia="仿宋" w:hAnsi="仿宋" w:hint="eastAsia"/>
          <w:sz w:val="32"/>
          <w:szCs w:val="32"/>
        </w:rPr>
        <w:t xml:space="preserve"> 53</w:t>
      </w:r>
      <w:r w:rsidRPr="00773A2E">
        <w:rPr>
          <w:rFonts w:ascii="仿宋" w:eastAsia="仿宋" w:hAnsi="仿宋" w:hint="eastAsia"/>
          <w:sz w:val="32"/>
          <w:szCs w:val="32"/>
        </w:rPr>
        <w:t xml:space="preserve"> </w:t>
      </w:r>
      <w:r>
        <w:rPr>
          <w:rFonts w:ascii="仿宋" w:eastAsia="仿宋" w:hAnsi="仿宋" w:hint="eastAsia"/>
          <w:sz w:val="32"/>
          <w:szCs w:val="32"/>
        </w:rPr>
        <w:t>万元，比上年增加32万元，主要原因是创国卫开支增加</w:t>
      </w:r>
      <w:r w:rsidRPr="00773A2E">
        <w:rPr>
          <w:rFonts w:ascii="仿宋" w:eastAsia="仿宋" w:hAnsi="仿宋" w:hint="eastAsia"/>
          <w:sz w:val="32"/>
          <w:szCs w:val="32"/>
        </w:rPr>
        <w:t>。</w:t>
      </w:r>
    </w:p>
    <w:p w:rsidR="00773A2E" w:rsidRPr="00514640" w:rsidRDefault="00773A2E" w:rsidP="00773A2E">
      <w:pPr>
        <w:ind w:leftChars="228" w:left="479" w:firstLineChars="50" w:firstLine="160"/>
        <w:rPr>
          <w:rFonts w:ascii="黑体" w:eastAsia="黑体" w:hAnsi="黑体" w:hint="eastAsia"/>
          <w:sz w:val="32"/>
          <w:szCs w:val="32"/>
        </w:rPr>
      </w:pPr>
      <w:r w:rsidRPr="00514640">
        <w:rPr>
          <w:rFonts w:ascii="黑体" w:eastAsia="黑体" w:hAnsi="黑体" w:hint="eastAsia"/>
          <w:sz w:val="32"/>
          <w:szCs w:val="32"/>
        </w:rPr>
        <w:t>六、政府采购支出说明</w:t>
      </w:r>
    </w:p>
    <w:p w:rsidR="00773A2E" w:rsidRPr="00773A2E" w:rsidRDefault="00773A2E" w:rsidP="00773A2E">
      <w:pPr>
        <w:ind w:leftChars="228" w:left="479" w:firstLineChars="50" w:firstLine="160"/>
        <w:rPr>
          <w:rFonts w:ascii="仿宋" w:eastAsia="仿宋" w:hAnsi="仿宋" w:hint="eastAsia"/>
          <w:sz w:val="32"/>
          <w:szCs w:val="32"/>
        </w:rPr>
      </w:pPr>
      <w:r w:rsidRPr="00773A2E">
        <w:rPr>
          <w:rFonts w:ascii="仿宋" w:eastAsia="仿宋" w:hAnsi="仿宋" w:hint="eastAsia"/>
          <w:sz w:val="32"/>
          <w:szCs w:val="32"/>
        </w:rPr>
        <w:t>2016年政府采购支出</w:t>
      </w:r>
      <w:r>
        <w:rPr>
          <w:rFonts w:ascii="仿宋" w:eastAsia="仿宋" w:hAnsi="仿宋" w:hint="eastAsia"/>
          <w:sz w:val="32"/>
          <w:szCs w:val="32"/>
        </w:rPr>
        <w:t>无增减。</w:t>
      </w:r>
    </w:p>
    <w:p w:rsidR="00773A2E" w:rsidRPr="00514640" w:rsidRDefault="00773A2E" w:rsidP="00773A2E">
      <w:pPr>
        <w:ind w:leftChars="228" w:left="479" w:firstLineChars="50" w:firstLine="160"/>
        <w:rPr>
          <w:rFonts w:ascii="黑体" w:eastAsia="黑体" w:hAnsi="黑体" w:hint="eastAsia"/>
          <w:sz w:val="32"/>
          <w:szCs w:val="32"/>
        </w:rPr>
      </w:pPr>
      <w:r w:rsidRPr="00514640">
        <w:rPr>
          <w:rFonts w:ascii="黑体" w:eastAsia="黑体" w:hAnsi="黑体" w:hint="eastAsia"/>
          <w:sz w:val="32"/>
          <w:szCs w:val="32"/>
        </w:rPr>
        <w:t>七、部门决算分析</w:t>
      </w:r>
    </w:p>
    <w:p w:rsidR="00773A2E" w:rsidRPr="00773A2E" w:rsidRDefault="00773A2E" w:rsidP="00773A2E">
      <w:pPr>
        <w:ind w:leftChars="228" w:left="479" w:firstLineChars="50" w:firstLine="160"/>
        <w:rPr>
          <w:rFonts w:ascii="仿宋" w:eastAsia="仿宋" w:hAnsi="仿宋" w:hint="eastAsia"/>
          <w:sz w:val="32"/>
          <w:szCs w:val="32"/>
        </w:rPr>
      </w:pPr>
      <w:r w:rsidRPr="00773A2E">
        <w:rPr>
          <w:rFonts w:ascii="仿宋" w:eastAsia="仿宋" w:hAnsi="仿宋" w:hint="eastAsia"/>
          <w:sz w:val="32"/>
          <w:szCs w:val="32"/>
        </w:rPr>
        <w:t>本单位严格按照县财政要求进行编制、送审、批复等工作。</w:t>
      </w:r>
    </w:p>
    <w:p w:rsidR="00773A2E" w:rsidRPr="00514640" w:rsidRDefault="00773A2E" w:rsidP="00773A2E">
      <w:pPr>
        <w:ind w:leftChars="228" w:left="479" w:firstLineChars="50" w:firstLine="160"/>
        <w:rPr>
          <w:rFonts w:ascii="黑体" w:eastAsia="黑体" w:hAnsi="黑体" w:hint="eastAsia"/>
          <w:sz w:val="32"/>
          <w:szCs w:val="32"/>
        </w:rPr>
      </w:pPr>
      <w:r w:rsidRPr="00514640">
        <w:rPr>
          <w:rFonts w:ascii="黑体" w:eastAsia="黑体" w:hAnsi="黑体" w:hint="eastAsia"/>
          <w:sz w:val="32"/>
          <w:szCs w:val="32"/>
        </w:rPr>
        <w:t>八、改进措施</w:t>
      </w:r>
    </w:p>
    <w:p w:rsidR="00773A2E" w:rsidRPr="00773A2E" w:rsidRDefault="00773A2E" w:rsidP="00773A2E">
      <w:pPr>
        <w:ind w:leftChars="228" w:left="479" w:firstLineChars="50" w:firstLine="160"/>
        <w:rPr>
          <w:rFonts w:ascii="仿宋" w:eastAsia="仿宋" w:hAnsi="仿宋" w:hint="eastAsia"/>
          <w:sz w:val="32"/>
          <w:szCs w:val="32"/>
        </w:rPr>
      </w:pPr>
      <w:r w:rsidRPr="00773A2E">
        <w:rPr>
          <w:rFonts w:ascii="仿宋" w:eastAsia="仿宋" w:hAnsi="仿宋" w:hint="eastAsia"/>
          <w:sz w:val="32"/>
          <w:szCs w:val="32"/>
        </w:rPr>
        <w:t>在下一年度部门决算做的更加完善，更好。</w:t>
      </w:r>
    </w:p>
    <w:p w:rsidR="00773A2E" w:rsidRPr="00773A2E" w:rsidRDefault="00773A2E" w:rsidP="00773A2E">
      <w:pPr>
        <w:ind w:leftChars="228" w:left="479" w:firstLineChars="50" w:firstLine="160"/>
        <w:rPr>
          <w:rFonts w:ascii="仿宋" w:eastAsia="仿宋" w:hAnsi="仿宋" w:hint="eastAsia"/>
          <w:sz w:val="32"/>
          <w:szCs w:val="32"/>
        </w:rPr>
      </w:pPr>
    </w:p>
    <w:p w:rsidR="00046280" w:rsidRPr="00773A2E" w:rsidRDefault="00046280" w:rsidP="00266BF3">
      <w:pPr>
        <w:ind w:leftChars="228" w:left="479" w:firstLineChars="50" w:firstLine="160"/>
        <w:rPr>
          <w:rFonts w:ascii="仿宋" w:eastAsia="仿宋" w:hAnsi="仿宋"/>
          <w:sz w:val="32"/>
          <w:szCs w:val="32"/>
        </w:rPr>
      </w:pPr>
    </w:p>
    <w:p w:rsidR="00A566A4" w:rsidRPr="00773A2E" w:rsidRDefault="00A566A4">
      <w:pPr>
        <w:rPr>
          <w:rFonts w:ascii="仿宋" w:eastAsia="仿宋" w:hAnsi="仿宋"/>
        </w:rPr>
      </w:pPr>
    </w:p>
    <w:p w:rsidR="00532851" w:rsidRPr="006665B0" w:rsidRDefault="004F334B" w:rsidP="00514640">
      <w:pPr>
        <w:ind w:right="1600" w:firstLineChars="1050" w:firstLine="3360"/>
        <w:rPr>
          <w:rFonts w:ascii="仿宋" w:eastAsia="仿宋" w:hAnsi="仿宋"/>
          <w:sz w:val="32"/>
          <w:szCs w:val="32"/>
        </w:rPr>
      </w:pPr>
      <w:r w:rsidRPr="006665B0">
        <w:rPr>
          <w:rFonts w:ascii="仿宋" w:eastAsia="仿宋" w:hAnsi="仿宋" w:hint="eastAsia"/>
          <w:sz w:val="32"/>
          <w:szCs w:val="32"/>
        </w:rPr>
        <w:t>东安县卫生计生综合监督执法局</w:t>
      </w:r>
    </w:p>
    <w:p w:rsidR="00A566A4" w:rsidRPr="006665B0" w:rsidRDefault="00532851">
      <w:pPr>
        <w:rPr>
          <w:rFonts w:ascii="仿宋" w:eastAsia="仿宋" w:hAnsi="仿宋"/>
          <w:sz w:val="32"/>
          <w:szCs w:val="32"/>
        </w:rPr>
      </w:pPr>
      <w:r w:rsidRPr="006665B0">
        <w:rPr>
          <w:rFonts w:ascii="仿宋" w:eastAsia="仿宋" w:hAnsi="仿宋" w:hint="eastAsia"/>
        </w:rPr>
        <w:t xml:space="preserve">              </w:t>
      </w:r>
      <w:r w:rsidR="004F334B" w:rsidRPr="006665B0">
        <w:rPr>
          <w:rFonts w:ascii="仿宋" w:eastAsia="仿宋" w:hAnsi="仿宋" w:hint="eastAsia"/>
        </w:rPr>
        <w:t xml:space="preserve">                           </w:t>
      </w:r>
      <w:r w:rsidR="006665B0">
        <w:rPr>
          <w:rFonts w:ascii="仿宋" w:eastAsia="仿宋" w:hAnsi="仿宋" w:hint="eastAsia"/>
          <w:sz w:val="32"/>
          <w:szCs w:val="32"/>
        </w:rPr>
        <w:t>二〇一七年七月十八</w:t>
      </w:r>
      <w:r w:rsidR="004F334B" w:rsidRPr="006665B0">
        <w:rPr>
          <w:rFonts w:ascii="仿宋" w:eastAsia="仿宋" w:hAnsi="仿宋" w:hint="eastAsia"/>
          <w:sz w:val="32"/>
          <w:szCs w:val="32"/>
        </w:rPr>
        <w:t>日</w:t>
      </w:r>
    </w:p>
    <w:sectPr w:rsidR="00A566A4" w:rsidRPr="006665B0" w:rsidSect="004F334B">
      <w:headerReference w:type="even" r:id="rId8"/>
      <w:headerReference w:type="default" r:id="rId9"/>
      <w:footerReference w:type="even" r:id="rId10"/>
      <w:footerReference w:type="default" r:id="rId11"/>
      <w:headerReference w:type="first" r:id="rId12"/>
      <w:footerReference w:type="first" r:id="rId13"/>
      <w:pgSz w:w="11906" w:h="16838"/>
      <w:pgMar w:top="1588" w:right="746" w:bottom="147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F6F" w:rsidRDefault="00296F6F">
      <w:r>
        <w:separator/>
      </w:r>
    </w:p>
  </w:endnote>
  <w:endnote w:type="continuationSeparator" w:id="0">
    <w:p w:rsidR="00296F6F" w:rsidRDefault="00296F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4B" w:rsidRDefault="00DD3DB0">
    <w:pPr>
      <w:pStyle w:val="a4"/>
      <w:framePr w:wrap="around" w:vAnchor="text" w:hAnchor="margin" w:xAlign="center" w:y="1"/>
      <w:rPr>
        <w:rStyle w:val="a6"/>
      </w:rPr>
    </w:pPr>
    <w:r>
      <w:rPr>
        <w:rStyle w:val="a6"/>
      </w:rPr>
      <w:fldChar w:fldCharType="begin"/>
    </w:r>
    <w:r w:rsidR="004F334B">
      <w:rPr>
        <w:rStyle w:val="a6"/>
      </w:rPr>
      <w:instrText xml:space="preserve">PAGE  </w:instrText>
    </w:r>
    <w:r>
      <w:rPr>
        <w:rStyle w:val="a6"/>
      </w:rPr>
      <w:fldChar w:fldCharType="separate"/>
    </w:r>
    <w:r w:rsidR="004F334B">
      <w:rPr>
        <w:rStyle w:val="a6"/>
      </w:rPr>
      <w:t xml:space="preserve"> </w:t>
    </w:r>
    <w:r>
      <w:rPr>
        <w:rStyle w:val="a6"/>
      </w:rPr>
      <w:fldChar w:fldCharType="end"/>
    </w:r>
  </w:p>
  <w:p w:rsidR="004F334B" w:rsidRDefault="004F334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4B" w:rsidRDefault="00DD3DB0">
    <w:pPr>
      <w:pStyle w:val="a4"/>
      <w:framePr w:wrap="around" w:vAnchor="text" w:hAnchor="margin" w:xAlign="center" w:y="1"/>
      <w:rPr>
        <w:rStyle w:val="a6"/>
      </w:rPr>
    </w:pPr>
    <w:r>
      <w:rPr>
        <w:rStyle w:val="a6"/>
      </w:rPr>
      <w:fldChar w:fldCharType="begin"/>
    </w:r>
    <w:r w:rsidR="004F334B">
      <w:rPr>
        <w:rStyle w:val="a6"/>
      </w:rPr>
      <w:instrText xml:space="preserve">PAGE  </w:instrText>
    </w:r>
    <w:r>
      <w:rPr>
        <w:rStyle w:val="a6"/>
      </w:rPr>
      <w:fldChar w:fldCharType="separate"/>
    </w:r>
    <w:r w:rsidR="00514640">
      <w:rPr>
        <w:rStyle w:val="a6"/>
        <w:noProof/>
      </w:rPr>
      <w:t>3</w:t>
    </w:r>
    <w:r>
      <w:rPr>
        <w:rStyle w:val="a6"/>
      </w:rPr>
      <w:fldChar w:fldCharType="end"/>
    </w:r>
  </w:p>
  <w:p w:rsidR="004F334B" w:rsidRDefault="004F334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4B" w:rsidRDefault="004F33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F6F" w:rsidRDefault="00296F6F">
      <w:r>
        <w:separator/>
      </w:r>
    </w:p>
  </w:footnote>
  <w:footnote w:type="continuationSeparator" w:id="0">
    <w:p w:rsidR="00296F6F" w:rsidRDefault="00296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4B" w:rsidRDefault="004F334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4B" w:rsidRDefault="004F334B" w:rsidP="00277CC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4B" w:rsidRDefault="004F334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746E01C6"/>
    <w:lvl w:ilvl="0">
      <w:start w:val="1"/>
      <w:numFmt w:val="decimal"/>
      <w:lvlText w:val="%1."/>
      <w:lvlJc w:val="left"/>
      <w:pPr>
        <w:tabs>
          <w:tab w:val="num" w:pos="2040"/>
        </w:tabs>
        <w:ind w:left="2040" w:hanging="360"/>
      </w:pPr>
    </w:lvl>
  </w:abstractNum>
  <w:abstractNum w:abstractNumId="1">
    <w:nsid w:val="0FFFFF7D"/>
    <w:multiLevelType w:val="singleLevel"/>
    <w:tmpl w:val="57282FA0"/>
    <w:lvl w:ilvl="0">
      <w:start w:val="1"/>
      <w:numFmt w:val="decimal"/>
      <w:lvlText w:val="%1."/>
      <w:lvlJc w:val="left"/>
      <w:pPr>
        <w:tabs>
          <w:tab w:val="num" w:pos="1620"/>
        </w:tabs>
        <w:ind w:left="1620" w:hanging="360"/>
      </w:pPr>
    </w:lvl>
  </w:abstractNum>
  <w:abstractNum w:abstractNumId="2">
    <w:nsid w:val="0FFFFF7E"/>
    <w:multiLevelType w:val="singleLevel"/>
    <w:tmpl w:val="82E4D800"/>
    <w:lvl w:ilvl="0">
      <w:start w:val="1"/>
      <w:numFmt w:val="decimal"/>
      <w:lvlText w:val="%1."/>
      <w:lvlJc w:val="left"/>
      <w:pPr>
        <w:tabs>
          <w:tab w:val="num" w:pos="1200"/>
        </w:tabs>
        <w:ind w:left="1200" w:hanging="360"/>
      </w:pPr>
    </w:lvl>
  </w:abstractNum>
  <w:abstractNum w:abstractNumId="3">
    <w:nsid w:val="0FFFFF7F"/>
    <w:multiLevelType w:val="singleLevel"/>
    <w:tmpl w:val="1AB4DB28"/>
    <w:lvl w:ilvl="0">
      <w:start w:val="1"/>
      <w:numFmt w:val="decimal"/>
      <w:lvlText w:val="%1."/>
      <w:lvlJc w:val="left"/>
      <w:pPr>
        <w:tabs>
          <w:tab w:val="num" w:pos="780"/>
        </w:tabs>
        <w:ind w:left="780" w:hanging="360"/>
      </w:pPr>
    </w:lvl>
  </w:abstractNum>
  <w:abstractNum w:abstractNumId="4">
    <w:nsid w:val="0FFFFF80"/>
    <w:multiLevelType w:val="singleLevel"/>
    <w:tmpl w:val="2D86D65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072EC19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87FC783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304F75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F794A086"/>
    <w:lvl w:ilvl="0">
      <w:start w:val="1"/>
      <w:numFmt w:val="decimal"/>
      <w:lvlText w:val="%1."/>
      <w:lvlJc w:val="left"/>
      <w:pPr>
        <w:tabs>
          <w:tab w:val="num" w:pos="360"/>
        </w:tabs>
        <w:ind w:left="360" w:hanging="360"/>
      </w:pPr>
    </w:lvl>
  </w:abstractNum>
  <w:abstractNum w:abstractNumId="9">
    <w:nsid w:val="0FFFFF89"/>
    <w:multiLevelType w:val="singleLevel"/>
    <w:tmpl w:val="E43435E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stylePaneFormatFilter w:val="3F01"/>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0CA"/>
    <w:rsid w:val="00035943"/>
    <w:rsid w:val="00046280"/>
    <w:rsid w:val="0006283D"/>
    <w:rsid w:val="001D2928"/>
    <w:rsid w:val="00266BF3"/>
    <w:rsid w:val="00277CC9"/>
    <w:rsid w:val="00296F6F"/>
    <w:rsid w:val="00313161"/>
    <w:rsid w:val="003363A9"/>
    <w:rsid w:val="0036698F"/>
    <w:rsid w:val="003D2CE8"/>
    <w:rsid w:val="003F17C7"/>
    <w:rsid w:val="004660CA"/>
    <w:rsid w:val="004F334B"/>
    <w:rsid w:val="00514640"/>
    <w:rsid w:val="00532851"/>
    <w:rsid w:val="005A5E4A"/>
    <w:rsid w:val="005B681F"/>
    <w:rsid w:val="005E52D4"/>
    <w:rsid w:val="006665B0"/>
    <w:rsid w:val="00703984"/>
    <w:rsid w:val="007618C1"/>
    <w:rsid w:val="00773A2E"/>
    <w:rsid w:val="007A7F37"/>
    <w:rsid w:val="007E6560"/>
    <w:rsid w:val="00896316"/>
    <w:rsid w:val="008C573C"/>
    <w:rsid w:val="00A536B6"/>
    <w:rsid w:val="00A566A4"/>
    <w:rsid w:val="00A77027"/>
    <w:rsid w:val="00BE5B5D"/>
    <w:rsid w:val="00CB408C"/>
    <w:rsid w:val="00D5054B"/>
    <w:rsid w:val="00D5159D"/>
    <w:rsid w:val="00DB44C8"/>
    <w:rsid w:val="00DD3DB0"/>
    <w:rsid w:val="00E12D42"/>
    <w:rsid w:val="00EC7859"/>
    <w:rsid w:val="00F5401C"/>
    <w:rsid w:val="00FA6CA0"/>
    <w:rsid w:val="00FC4F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316"/>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631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96316"/>
    <w:pPr>
      <w:tabs>
        <w:tab w:val="center" w:pos="4153"/>
        <w:tab w:val="right" w:pos="8306"/>
      </w:tabs>
      <w:snapToGrid w:val="0"/>
      <w:jc w:val="left"/>
    </w:pPr>
    <w:rPr>
      <w:sz w:val="18"/>
      <w:szCs w:val="18"/>
    </w:rPr>
  </w:style>
  <w:style w:type="paragraph" w:styleId="a5">
    <w:name w:val="Date"/>
    <w:basedOn w:val="a"/>
    <w:next w:val="a"/>
    <w:rsid w:val="00896316"/>
    <w:pPr>
      <w:ind w:leftChars="2500" w:left="2500"/>
    </w:pPr>
  </w:style>
  <w:style w:type="character" w:styleId="a6">
    <w:name w:val="page number"/>
    <w:rsid w:val="00896316"/>
  </w:style>
  <w:style w:type="paragraph" w:customStyle="1" w:styleId="CharCharCharChar1CharCharChar">
    <w:name w:val="Char Char Char Char1 Char Char Char"/>
    <w:basedOn w:val="a"/>
    <w:rsid w:val="00896316"/>
    <w:rPr>
      <w:rFonts w:ascii="Tahoma" w:hAnsi="Tahoma"/>
      <w:sz w:val="24"/>
      <w:szCs w:val="20"/>
    </w:rPr>
  </w:style>
  <w:style w:type="paragraph" w:styleId="a7">
    <w:name w:val="Balloon Text"/>
    <w:basedOn w:val="a"/>
    <w:semiHidden/>
    <w:rsid w:val="0006283D"/>
    <w:rPr>
      <w:sz w:val="18"/>
      <w:szCs w:val="18"/>
    </w:rPr>
  </w:style>
  <w:style w:type="paragraph" w:styleId="a8">
    <w:name w:val="Normal (Web)"/>
    <w:basedOn w:val="a"/>
    <w:unhideWhenUsed/>
    <w:rsid w:val="00E12D4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AAFE81-39BB-435A-A78E-B6E45EB0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278</Words>
  <Characters>1585</Characters>
  <Application>Microsoft Office Word</Application>
  <DocSecurity>0</DocSecurity>
  <Lines>13</Lines>
  <Paragraphs>3</Paragraphs>
  <ScaleCrop>false</ScaleCrop>
  <Company>Microsoft</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2015年东安县科协决算基本情况说明</dc:title>
  <dc:creator>麦马佑</dc:creator>
  <cp:lastModifiedBy>dreamsummit</cp:lastModifiedBy>
  <cp:revision>5</cp:revision>
  <cp:lastPrinted>2016-09-09T02:41:00Z</cp:lastPrinted>
  <dcterms:created xsi:type="dcterms:W3CDTF">2017-07-18T08:48:00Z</dcterms:created>
  <dcterms:modified xsi:type="dcterms:W3CDTF">2017-07-19T09:14:00Z</dcterms:modified>
</cp:coreProperties>
</file>