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2016年东安</w:t>
      </w:r>
      <w:r>
        <w:rPr>
          <w:rFonts w:hint="eastAsia" w:ascii="黑体" w:eastAsia="黑体"/>
          <w:sz w:val="44"/>
          <w:szCs w:val="44"/>
          <w:lang w:eastAsia="zh-CN"/>
        </w:rPr>
        <w:t>经济开发区</w:t>
      </w:r>
      <w:r>
        <w:rPr>
          <w:rFonts w:hint="eastAsia" w:ascii="黑体" w:eastAsia="黑体"/>
          <w:sz w:val="44"/>
          <w:szCs w:val="44"/>
        </w:rPr>
        <w:t>决算情况说明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ind w:firstLine="627" w:firstLineChars="196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一、部门基本情况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（一）部门机构设置、职能</w:t>
      </w:r>
    </w:p>
    <w:p>
      <w:pPr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机构设置：东安经济开发区管理委员会下设办公室、招商合作局、产业发展局及企业服务局。</w:t>
      </w:r>
    </w:p>
    <w:p>
      <w:pPr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主要职能：开发区当前的主要工作是开展招商引资工作；白牙市工业园园区产业升级工作；“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135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”标准厂房建设及招商引资工作；完成县委、县政府交办的其他工作任务。</w:t>
      </w:r>
    </w:p>
    <w:p>
      <w:pPr>
        <w:numPr>
          <w:ilvl w:val="0"/>
          <w:numId w:val="1"/>
        </w:num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人员构成情况 </w:t>
      </w:r>
    </w:p>
    <w:p>
      <w:pPr>
        <w:numPr>
          <w:numId w:val="0"/>
        </w:numP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现有在编人员47人，其中：副处级领导2人，正科7人，副科5人，其他工作人员33人。</w:t>
      </w:r>
    </w:p>
    <w:p>
      <w:pPr>
        <w:numPr>
          <w:ilvl w:val="0"/>
          <w:numId w:val="1"/>
        </w:num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完成的主要工作</w:t>
      </w:r>
    </w:p>
    <w:p>
      <w:pPr>
        <w:numPr>
          <w:numId w:val="0"/>
        </w:numP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1、按时完成县委、县政府交办的各项工作任务。</w:t>
      </w:r>
    </w:p>
    <w:p>
      <w:pPr>
        <w:numPr>
          <w:numId w:val="0"/>
        </w:numP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2、园区发展初具规模。</w:t>
      </w:r>
    </w:p>
    <w:p>
      <w:pPr>
        <w:numPr>
          <w:numId w:val="0"/>
        </w:numP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3、园区招商引资成效明显。</w:t>
      </w:r>
    </w:p>
    <w:p>
      <w:pPr>
        <w:numPr>
          <w:numId w:val="0"/>
        </w:numP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4、园区服务环境进一步优化。</w:t>
      </w:r>
    </w:p>
    <w:p>
      <w:pPr>
        <w:numPr>
          <w:numId w:val="0"/>
        </w:numP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5、园区硬件设施进一步完善。</w:t>
      </w:r>
    </w:p>
    <w:p>
      <w:pPr>
        <w:numPr>
          <w:numId w:val="0"/>
        </w:numP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6、问题企业处置有力。</w:t>
      </w:r>
    </w:p>
    <w:p>
      <w:pPr>
        <w:ind w:firstLine="627" w:firstLineChars="196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二、收入决算说明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2016年收入决</w:t>
      </w:r>
      <w:r>
        <w:rPr>
          <w:rFonts w:hint="eastAsia" w:ascii="仿宋_GB2312" w:eastAsia="仿宋_GB2312"/>
          <w:sz w:val="32"/>
          <w:szCs w:val="32"/>
          <w:lang w:eastAsia="zh-CN"/>
        </w:rPr>
        <w:t>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317</w:t>
      </w:r>
      <w:r>
        <w:rPr>
          <w:rFonts w:hint="eastAsia" w:ascii="仿宋_GB2312" w:eastAsia="仿宋_GB2312"/>
          <w:sz w:val="32"/>
          <w:szCs w:val="32"/>
        </w:rPr>
        <w:t>万元。其中：当年财政拨款收入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317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，同比无增减。</w:t>
      </w:r>
    </w:p>
    <w:p>
      <w:pPr>
        <w:ind w:firstLine="627" w:firstLineChars="196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三、支出决算说明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2016年支出决算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317</w:t>
      </w:r>
      <w:r>
        <w:rPr>
          <w:rFonts w:hint="eastAsia" w:ascii="仿宋_GB2312" w:eastAsia="仿宋_GB2312"/>
          <w:sz w:val="32"/>
          <w:szCs w:val="32"/>
        </w:rPr>
        <w:t>万元，财政拨款支出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317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，同比无增减。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2016年财政拨款支出按用途划，其中：基本支出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317</w:t>
      </w:r>
      <w:r>
        <w:rPr>
          <w:rFonts w:hint="eastAsia" w:ascii="仿宋_GB2312" w:eastAsia="仿宋_GB2312"/>
          <w:sz w:val="32"/>
          <w:szCs w:val="32"/>
        </w:rPr>
        <w:t>万元，同比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无增减。</w:t>
      </w:r>
    </w:p>
    <w:p>
      <w:pPr>
        <w:ind w:left="160" w:leftChars="76" w:firstLine="496" w:firstLineChars="155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四、“三公经费”支出说明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2016年“三公经费”财政拨款支出共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14.57</w:t>
      </w:r>
      <w:r>
        <w:rPr>
          <w:rFonts w:hint="eastAsia" w:ascii="仿宋_GB2312" w:eastAsia="仿宋_GB2312"/>
          <w:sz w:val="32"/>
          <w:szCs w:val="32"/>
        </w:rPr>
        <w:t>万元，与上年决算数同比增减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2.93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主要是公务接待费比上年减少了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9.93万元，而公务用车购置及运行维护费增加了7万元。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因公出国（境</w:t>
      </w:r>
      <w:r>
        <w:rPr>
          <w:rFonts w:hint="eastAsia" w:ascii="仿宋_GB2312" w:eastAsia="仿宋_GB2312"/>
          <w:sz w:val="32"/>
          <w:szCs w:val="32"/>
          <w:lang w:eastAsia="zh-CN"/>
        </w:rPr>
        <w:t>）费无</w:t>
      </w:r>
      <w:r>
        <w:rPr>
          <w:rFonts w:hint="eastAsia" w:ascii="仿宋_GB2312" w:eastAsia="仿宋_GB2312"/>
          <w:sz w:val="32"/>
          <w:szCs w:val="32"/>
        </w:rPr>
        <w:t>支出；</w:t>
      </w:r>
    </w:p>
    <w:p>
      <w:pPr>
        <w:ind w:left="19" w:leftChars="9"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公务用车购置及运行维护费支出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10.5</w:t>
      </w:r>
      <w:r>
        <w:rPr>
          <w:rFonts w:hint="eastAsia" w:ascii="仿宋_GB2312" w:eastAsia="仿宋_GB2312"/>
          <w:sz w:val="32"/>
          <w:szCs w:val="32"/>
        </w:rPr>
        <w:t>万元，具体是：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2016年</w:t>
      </w:r>
      <w:r>
        <w:rPr>
          <w:rFonts w:hint="eastAsia" w:ascii="仿宋_GB2312" w:eastAsia="仿宋_GB2312"/>
          <w:sz w:val="32"/>
          <w:szCs w:val="32"/>
        </w:rPr>
        <w:t>公务车保有量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辆，全年运行维护费支出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10.5</w:t>
      </w:r>
      <w:r>
        <w:rPr>
          <w:rFonts w:hint="eastAsia" w:ascii="仿宋_GB2312" w:eastAsia="仿宋_GB2312"/>
          <w:sz w:val="32"/>
          <w:szCs w:val="32"/>
        </w:rPr>
        <w:t>万元，同比增</w:t>
      </w:r>
      <w:r>
        <w:rPr>
          <w:rFonts w:hint="eastAsia" w:ascii="仿宋_GB2312" w:eastAsia="仿宋_GB2312"/>
          <w:sz w:val="32"/>
          <w:szCs w:val="32"/>
          <w:lang w:eastAsia="zh-CN"/>
        </w:rPr>
        <w:t>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。主要原因是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2016招商引资任务繁重，经常驱车前往外地招商引资，另因小车购置时间较长，油耗较大，维修费用也较高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2017前1月1日前开发区将公车已上交县公车改革办，无公务用车。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3、公务接待费支出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4.07</w:t>
      </w:r>
      <w:r>
        <w:rPr>
          <w:rFonts w:hint="eastAsia" w:ascii="仿宋_GB2312" w:eastAsia="仿宋_GB2312"/>
          <w:sz w:val="32"/>
          <w:szCs w:val="32"/>
        </w:rPr>
        <w:t>万元，同比增减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9.93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主要原因是开发区对公务接待费开支进行了控制。</w:t>
      </w:r>
    </w:p>
    <w:p>
      <w:pPr>
        <w:ind w:left="160" w:leftChars="76" w:firstLine="496" w:firstLineChars="155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五、机关运行经费支出说明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2016年机关运行经费支出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67.29</w:t>
      </w:r>
      <w:r>
        <w:rPr>
          <w:rFonts w:hint="eastAsia" w:ascii="仿宋_GB2312" w:eastAsia="仿宋_GB2312"/>
          <w:sz w:val="32"/>
          <w:szCs w:val="32"/>
        </w:rPr>
        <w:t>万元，同比增减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108.08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主要原因是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2016年控制各项开支，清偿了部分欠款，减少借款利息开支。</w:t>
      </w:r>
    </w:p>
    <w:p>
      <w:pPr>
        <w:ind w:left="160" w:leftChars="76" w:firstLine="496" w:firstLineChars="155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六、政府采购支出说明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2016年</w:t>
      </w:r>
      <w:r>
        <w:rPr>
          <w:rFonts w:hint="eastAsia" w:ascii="仿宋_GB2312" w:eastAsia="仿宋_GB2312"/>
          <w:sz w:val="32"/>
          <w:szCs w:val="32"/>
          <w:lang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政府采购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2"/>
        </w:numPr>
        <w:spacing w:line="600" w:lineRule="exact"/>
        <w:ind w:firstLine="627" w:firstLineChars="196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进行部门决算分析。</w:t>
      </w:r>
    </w:p>
    <w:p>
      <w:pPr>
        <w:ind w:left="19" w:leftChars="9" w:firstLine="684" w:firstLineChars="214"/>
        <w:rPr>
          <w:rFonts w:hint="eastAsia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本单位严格按照县财政要求进行编制、送审、批复、公开等工作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spacing w:line="600" w:lineRule="exact"/>
        <w:ind w:firstLine="627" w:firstLineChars="196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提出改进措施</w:t>
      </w:r>
    </w:p>
    <w:p>
      <w:pPr>
        <w:widowControl/>
        <w:numPr>
          <w:numId w:val="0"/>
        </w:numPr>
        <w:spacing w:line="600" w:lineRule="exact"/>
        <w:ind w:firstLine="64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强化部门决算监督检查，提高决算管理水平。部门决算是全面反映单位年度收支结果的综合财务报告，它既反映出单位一年来对财政预算管理各项要求的执行情况，也反映出单位财务管理水平和会计核算的实际结果，因此应加大监督检查力度。一是检查决算收入的真实性、合规性，看有无违反规定，截留挪用上级收入；二是检查决算支出，检查有无超预算、铺张浪费、乱发奖金补贴；三是评价财政管理水平和财政资金使用效益以及财政抗风险能力。</w:t>
      </w:r>
    </w:p>
    <w:p>
      <w:pPr>
        <w:widowControl/>
        <w:numPr>
          <w:numId w:val="0"/>
        </w:numPr>
        <w:spacing w:line="600" w:lineRule="exact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numPr>
          <w:numId w:val="0"/>
        </w:numPr>
        <w:spacing w:line="600" w:lineRule="exact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numPr>
          <w:numId w:val="0"/>
        </w:numPr>
        <w:spacing w:line="600" w:lineRule="exact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                湖南东安经济开发区管理委员会</w:t>
      </w:r>
    </w:p>
    <w:p>
      <w:pPr>
        <w:widowControl/>
        <w:numPr>
          <w:numId w:val="0"/>
        </w:numPr>
        <w:spacing w:line="600" w:lineRule="exact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                    2017年</w:t>
      </w:r>
    </w:p>
    <w:p>
      <w:pPr>
        <w:widowControl/>
        <w:numPr>
          <w:numId w:val="0"/>
        </w:numPr>
        <w:spacing w:line="600" w:lineRule="exact"/>
        <w:ind w:firstLine="64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numPr>
          <w:numId w:val="0"/>
        </w:numPr>
        <w:spacing w:line="600" w:lineRule="exact"/>
        <w:ind w:left="5427" w:leftChars="608" w:hanging="4150" w:hangingChars="1297"/>
        <w:jc w:val="left"/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54B4C"/>
    <w:multiLevelType w:val="singleLevel"/>
    <w:tmpl w:val="59754B4C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9755219"/>
    <w:multiLevelType w:val="singleLevel"/>
    <w:tmpl w:val="59755219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94D89"/>
    <w:rsid w:val="29A9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2017-07-24T01:07:00Z</dcterms:created>
  <dc:creator>Administrator</dc:creator>
  <cp:lastModifiedBy>Administrator</cp:lastModifiedBy>
  <dcterms:modified xsi:type="dcterms:W3CDTF">2017-07-24T01:44:03Z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